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600" w:firstLineChars="200"/>
        <w:jc w:val="center"/>
        <w:rPr>
          <w:rFonts w:ascii="宋体" w:hAnsi="宋体" w:eastAsia="宋体" w:cs="宋体"/>
          <w:b/>
          <w:sz w:val="30"/>
        </w:rPr>
      </w:pPr>
      <w:bookmarkStart w:id="0" w:name="_GoBack"/>
      <w:r>
        <w:rPr>
          <w:rFonts w:ascii="宋体" w:hAnsi="宋体" w:eastAsia="宋体" w:cs="宋体"/>
          <w:b/>
          <w:sz w:val="30"/>
        </w:rPr>
        <w:t>天津市滨海新区中医医院</w:t>
      </w:r>
      <w:r>
        <w:rPr>
          <w:rFonts w:hint="eastAsia" w:ascii="宋体" w:hAnsi="宋体" w:eastAsia="宋体" w:cs="宋体"/>
          <w:b/>
          <w:sz w:val="30"/>
        </w:rPr>
        <w:t>小型零星工程造价咨询服务</w:t>
      </w:r>
    </w:p>
    <w:p>
      <w:pPr>
        <w:spacing w:line="460" w:lineRule="exact"/>
        <w:jc w:val="center"/>
        <w:rPr>
          <w:rFonts w:ascii="宋体" w:hAnsi="宋体" w:eastAsia="宋体" w:cs="宋体"/>
          <w:b/>
          <w:sz w:val="30"/>
          <w:szCs w:val="30"/>
          <w:shd w:val="clear" w:color="auto" w:fill="000000"/>
        </w:rPr>
      </w:pPr>
      <w:r>
        <w:rPr>
          <w:rFonts w:hint="eastAsia" w:ascii="宋体" w:hAnsi="宋体" w:eastAsia="宋体" w:cs="宋体"/>
          <w:b/>
          <w:sz w:val="30"/>
          <w:szCs w:val="30"/>
        </w:rPr>
        <w:t>项目需求</w:t>
      </w:r>
    </w:p>
    <w:bookmarkEnd w:id="0"/>
    <w:p>
      <w:pPr>
        <w:numPr>
          <w:ilvl w:val="0"/>
          <w:numId w:val="1"/>
        </w:numPr>
        <w:spacing w:line="460" w:lineRule="exact"/>
        <w:ind w:left="514"/>
        <w:rPr>
          <w:rFonts w:ascii="宋体" w:hAnsi="宋体" w:eastAsia="宋体" w:cs="宋体"/>
          <w:b/>
          <w:spacing w:val="8"/>
          <w:sz w:val="24"/>
          <w:szCs w:val="24"/>
          <w:shd w:val="clear" w:color="auto" w:fill="FFFFFF"/>
        </w:rPr>
      </w:pPr>
      <w:r>
        <w:rPr>
          <w:rFonts w:hint="eastAsia" w:ascii="宋体" w:hAnsi="宋体" w:eastAsia="宋体" w:cs="宋体"/>
          <w:b/>
          <w:spacing w:val="8"/>
          <w:sz w:val="24"/>
          <w:szCs w:val="24"/>
          <w:shd w:val="clear" w:color="auto" w:fill="FFFFFF"/>
        </w:rPr>
        <w:t>采购内容及预算</w:t>
      </w:r>
    </w:p>
    <w:p>
      <w:pPr>
        <w:spacing w:line="460" w:lineRule="exact"/>
        <w:ind w:firstLine="512" w:firstLineChars="200"/>
        <w:rPr>
          <w:rFonts w:ascii="宋体" w:hAnsi="宋体" w:eastAsia="宋体" w:cs="宋体"/>
          <w:bCs/>
          <w:spacing w:val="8"/>
          <w:sz w:val="24"/>
          <w:szCs w:val="24"/>
          <w:shd w:val="clear" w:color="auto" w:fill="FFFFFF"/>
        </w:rPr>
      </w:pPr>
      <w:r>
        <w:rPr>
          <w:rFonts w:hint="eastAsia" w:ascii="宋体" w:hAnsi="宋体" w:eastAsia="宋体" w:cs="宋体"/>
          <w:bCs/>
          <w:spacing w:val="8"/>
          <w:sz w:val="24"/>
          <w:szCs w:val="24"/>
          <w:shd w:val="clear" w:color="auto" w:fill="FFFFFF"/>
        </w:rPr>
        <w:t>医院2021-2022年小型零星工程造价咨询服务，</w:t>
      </w:r>
      <w:r>
        <w:rPr>
          <w:rFonts w:hint="eastAsia" w:ascii="宋体" w:hAnsi="宋体" w:eastAsia="宋体" w:cs="宋体"/>
          <w:spacing w:val="8"/>
          <w:sz w:val="24"/>
          <w:shd w:val="clear" w:color="auto" w:fill="FFFFFF"/>
        </w:rPr>
        <w:t>按候选入围供应商综合评分由高到低顺序确定2家入围供应商。</w:t>
      </w:r>
      <w:r>
        <w:rPr>
          <w:rFonts w:hint="eastAsia" w:ascii="宋体" w:hAnsi="宋体" w:eastAsia="宋体" w:cs="宋体"/>
          <w:bCs/>
          <w:spacing w:val="8"/>
          <w:sz w:val="24"/>
          <w:szCs w:val="24"/>
          <w:shd w:val="clear" w:color="auto" w:fill="FFFFFF"/>
        </w:rPr>
        <w:t>项目预算2.49万元/年，服务期为2年，工程造价咨询服务费以实际发生为准。</w:t>
      </w:r>
    </w:p>
    <w:p>
      <w:pPr>
        <w:adjustRightInd w:val="0"/>
        <w:snapToGrid w:val="0"/>
        <w:spacing w:line="460" w:lineRule="exact"/>
        <w:ind w:firstLine="514"/>
        <w:rPr>
          <w:rFonts w:ascii="宋体" w:hAnsi="宋体" w:eastAsia="宋体" w:cs="宋体"/>
          <w:b/>
          <w:spacing w:val="8"/>
          <w:sz w:val="24"/>
          <w:szCs w:val="24"/>
          <w:shd w:val="clear" w:color="auto" w:fill="FFFFFF"/>
        </w:rPr>
      </w:pPr>
      <w:r>
        <w:rPr>
          <w:rFonts w:hint="eastAsia" w:ascii="宋体" w:hAnsi="宋体" w:eastAsia="宋体" w:cs="宋体"/>
          <w:b/>
          <w:spacing w:val="8"/>
          <w:sz w:val="24"/>
          <w:szCs w:val="24"/>
          <w:shd w:val="clear" w:color="auto" w:fill="FFFFFF"/>
        </w:rPr>
        <w:t>二、供应商资质要求：</w:t>
      </w:r>
    </w:p>
    <w:p>
      <w:pPr>
        <w:adjustRightInd w:val="0"/>
        <w:snapToGrid w:val="0"/>
        <w:spacing w:line="460" w:lineRule="exact"/>
        <w:ind w:firstLine="512"/>
        <w:rPr>
          <w:rFonts w:ascii="宋体" w:hAnsi="宋体" w:eastAsia="宋体" w:cs="宋体"/>
          <w:spacing w:val="8"/>
          <w:sz w:val="24"/>
          <w:szCs w:val="24"/>
          <w:shd w:val="clear" w:color="auto" w:fill="FFFFFF"/>
        </w:rPr>
      </w:pPr>
      <w:r>
        <w:rPr>
          <w:rFonts w:hint="eastAsia" w:ascii="宋体" w:hAnsi="宋体" w:eastAsia="宋体" w:cs="宋体"/>
          <w:spacing w:val="8"/>
          <w:sz w:val="24"/>
          <w:szCs w:val="24"/>
          <w:shd w:val="clear" w:color="auto" w:fill="FFFFFF"/>
        </w:rPr>
        <w:t>1</w:t>
      </w:r>
      <w:r>
        <w:rPr>
          <w:rFonts w:ascii="宋体" w:hAnsi="宋体" w:eastAsia="宋体" w:cs="宋体"/>
          <w:spacing w:val="8"/>
          <w:sz w:val="24"/>
          <w:szCs w:val="24"/>
          <w:shd w:val="clear" w:color="auto" w:fill="FFFFFF"/>
        </w:rPr>
        <w:t>.</w:t>
      </w:r>
      <w:r>
        <w:rPr>
          <w:rFonts w:hint="eastAsia" w:ascii="宋体" w:hAnsi="宋体" w:eastAsia="宋体" w:cs="宋体"/>
          <w:spacing w:val="8"/>
          <w:sz w:val="24"/>
          <w:szCs w:val="24"/>
          <w:shd w:val="clear" w:color="auto" w:fill="FFFFFF"/>
        </w:rPr>
        <w:t>投标人必须是在中华人民共和国境内注册并合法运作的独立法人机构，具有合法的《营业执照》等资质。</w:t>
      </w:r>
    </w:p>
    <w:p>
      <w:pPr>
        <w:adjustRightInd w:val="0"/>
        <w:snapToGrid w:val="0"/>
        <w:spacing w:line="460" w:lineRule="exact"/>
        <w:ind w:firstLine="512"/>
        <w:rPr>
          <w:rFonts w:ascii="宋体" w:hAnsi="宋体" w:eastAsia="宋体" w:cs="宋体"/>
          <w:spacing w:val="8"/>
          <w:sz w:val="24"/>
          <w:szCs w:val="24"/>
          <w:shd w:val="clear" w:color="auto" w:fill="FFFFFF"/>
        </w:rPr>
      </w:pPr>
      <w:r>
        <w:rPr>
          <w:rFonts w:hint="eastAsia" w:ascii="宋体" w:hAnsi="宋体" w:eastAsia="宋体" w:cs="宋体"/>
          <w:spacing w:val="8"/>
          <w:sz w:val="24"/>
          <w:szCs w:val="24"/>
          <w:shd w:val="clear" w:color="auto" w:fill="FFFFFF"/>
        </w:rPr>
        <w:t>2</w:t>
      </w:r>
      <w:r>
        <w:rPr>
          <w:rFonts w:ascii="宋体" w:hAnsi="宋体" w:eastAsia="宋体" w:cs="宋体"/>
          <w:spacing w:val="8"/>
          <w:sz w:val="24"/>
          <w:szCs w:val="24"/>
          <w:shd w:val="clear" w:color="auto" w:fill="FFFFFF"/>
        </w:rPr>
        <w:t>.</w:t>
      </w:r>
      <w:r>
        <w:rPr>
          <w:rFonts w:hint="eastAsia" w:ascii="宋体" w:hAnsi="宋体" w:eastAsia="宋体" w:cs="宋体"/>
          <w:spacing w:val="8"/>
          <w:sz w:val="24"/>
          <w:szCs w:val="24"/>
          <w:shd w:val="clear" w:color="auto" w:fill="FFFFFF"/>
        </w:rPr>
        <w:t>具有工程造价咨询乙级及以上资质。</w:t>
      </w:r>
    </w:p>
    <w:p>
      <w:pPr>
        <w:adjustRightInd w:val="0"/>
        <w:snapToGrid w:val="0"/>
        <w:spacing w:line="460" w:lineRule="exact"/>
        <w:ind w:firstLine="512"/>
        <w:rPr>
          <w:rFonts w:ascii="宋体" w:hAnsi="宋体" w:eastAsia="宋体" w:cs="宋体"/>
          <w:spacing w:val="8"/>
          <w:sz w:val="24"/>
          <w:szCs w:val="24"/>
          <w:shd w:val="clear" w:color="auto" w:fill="FFFFFF"/>
        </w:rPr>
      </w:pPr>
      <w:r>
        <w:rPr>
          <w:rFonts w:hint="eastAsia" w:ascii="宋体" w:hAnsi="宋体" w:eastAsia="宋体" w:cs="宋体"/>
          <w:spacing w:val="8"/>
          <w:sz w:val="24"/>
          <w:szCs w:val="24"/>
          <w:shd w:val="clear" w:color="auto" w:fill="FFFFFF"/>
        </w:rPr>
        <w:t>3</w:t>
      </w:r>
      <w:r>
        <w:rPr>
          <w:rFonts w:ascii="宋体" w:hAnsi="宋体" w:eastAsia="宋体" w:cs="宋体"/>
          <w:spacing w:val="8"/>
          <w:sz w:val="24"/>
          <w:szCs w:val="24"/>
          <w:shd w:val="clear" w:color="auto" w:fill="FFFFFF"/>
        </w:rPr>
        <w:t>.</w:t>
      </w:r>
      <w:r>
        <w:rPr>
          <w:rFonts w:hint="eastAsia" w:ascii="宋体" w:hAnsi="宋体" w:eastAsia="宋体" w:cs="宋体"/>
          <w:spacing w:val="8"/>
          <w:sz w:val="24"/>
          <w:szCs w:val="24"/>
        </w:rPr>
        <w:t>具有良好的商业信誉和健全的财务会计制度</w:t>
      </w:r>
      <w:r>
        <w:rPr>
          <w:rFonts w:hint="eastAsia" w:ascii="宋体" w:hAnsi="宋体" w:eastAsia="宋体" w:cs="宋体"/>
          <w:spacing w:val="8"/>
          <w:sz w:val="24"/>
          <w:szCs w:val="24"/>
          <w:shd w:val="clear" w:color="auto" w:fill="FFFFFF"/>
        </w:rPr>
        <w:t>。</w:t>
      </w:r>
    </w:p>
    <w:p>
      <w:pPr>
        <w:pStyle w:val="2"/>
        <w:spacing w:line="460" w:lineRule="exact"/>
      </w:pPr>
      <w:r>
        <w:rPr>
          <w:rFonts w:hint="eastAsia" w:ascii="宋体" w:hAnsi="宋体" w:eastAsia="宋体" w:cs="宋体"/>
          <w:spacing w:val="8"/>
          <w:sz w:val="24"/>
          <w:szCs w:val="24"/>
          <w:shd w:val="clear" w:color="auto" w:fill="FFFFFF"/>
        </w:rPr>
        <w:t xml:space="preserve">    4</w:t>
      </w:r>
      <w:r>
        <w:rPr>
          <w:rFonts w:ascii="宋体" w:hAnsi="宋体" w:eastAsia="宋体" w:cs="宋体"/>
          <w:spacing w:val="8"/>
          <w:sz w:val="24"/>
          <w:szCs w:val="24"/>
          <w:shd w:val="clear" w:color="auto" w:fill="FFFFFF"/>
        </w:rPr>
        <w:t>.</w:t>
      </w:r>
      <w:r>
        <w:rPr>
          <w:rFonts w:hint="eastAsia" w:ascii="宋体" w:hAnsi="宋体" w:eastAsia="宋体" w:cs="宋体"/>
          <w:spacing w:val="8"/>
          <w:sz w:val="24"/>
          <w:szCs w:val="24"/>
        </w:rPr>
        <w:t>有依法缴纳税收和社会保障资金的良好记录。</w:t>
      </w:r>
    </w:p>
    <w:p>
      <w:pPr>
        <w:adjustRightInd w:val="0"/>
        <w:snapToGrid w:val="0"/>
        <w:spacing w:line="460" w:lineRule="exact"/>
        <w:ind w:firstLine="512"/>
        <w:rPr>
          <w:rFonts w:ascii="宋体" w:hAnsi="宋体" w:eastAsia="宋体" w:cs="宋体"/>
          <w:spacing w:val="8"/>
          <w:sz w:val="24"/>
          <w:szCs w:val="24"/>
          <w:shd w:val="clear" w:color="auto" w:fill="FFFFFF"/>
        </w:rPr>
      </w:pPr>
      <w:r>
        <w:rPr>
          <w:rFonts w:hint="eastAsia" w:ascii="宋体" w:hAnsi="宋体" w:eastAsia="宋体" w:cs="宋体"/>
          <w:spacing w:val="8"/>
          <w:sz w:val="24"/>
          <w:szCs w:val="24"/>
          <w:shd w:val="clear" w:color="auto" w:fill="FFFFFF"/>
        </w:rPr>
        <w:t>5</w:t>
      </w:r>
      <w:r>
        <w:rPr>
          <w:rFonts w:ascii="宋体" w:hAnsi="宋体" w:eastAsia="宋体" w:cs="宋体"/>
          <w:spacing w:val="8"/>
          <w:sz w:val="24"/>
          <w:szCs w:val="24"/>
          <w:shd w:val="clear" w:color="auto" w:fill="FFFFFF"/>
        </w:rPr>
        <w:t>.</w:t>
      </w:r>
      <w:r>
        <w:rPr>
          <w:rFonts w:hint="eastAsia" w:ascii="宋体" w:hAnsi="宋体" w:eastAsia="宋体" w:cs="宋体"/>
          <w:spacing w:val="8"/>
          <w:sz w:val="24"/>
          <w:szCs w:val="24"/>
        </w:rPr>
        <w:t>参加采购活动前三年内，在经营活动中没有重大违法记录</w:t>
      </w:r>
      <w:r>
        <w:rPr>
          <w:rFonts w:hint="eastAsia" w:ascii="宋体" w:hAnsi="宋体" w:eastAsia="宋体" w:cs="宋体"/>
          <w:spacing w:val="8"/>
          <w:sz w:val="24"/>
          <w:szCs w:val="24"/>
          <w:shd w:val="clear" w:color="auto" w:fill="FFFFFF"/>
        </w:rPr>
        <w:t>。</w:t>
      </w:r>
    </w:p>
    <w:p>
      <w:pPr>
        <w:adjustRightInd w:val="0"/>
        <w:snapToGrid w:val="0"/>
        <w:spacing w:line="460" w:lineRule="exact"/>
        <w:ind w:firstLine="512"/>
        <w:rPr>
          <w:rFonts w:ascii="宋体" w:hAnsi="宋体" w:eastAsia="宋体" w:cs="宋体"/>
          <w:b/>
          <w:spacing w:val="8"/>
          <w:sz w:val="24"/>
          <w:szCs w:val="24"/>
          <w:shd w:val="clear" w:color="auto" w:fill="FFFFFF"/>
        </w:rPr>
      </w:pPr>
      <w:r>
        <w:rPr>
          <w:rFonts w:hint="eastAsia" w:ascii="宋体" w:hAnsi="宋体" w:eastAsia="宋体" w:cs="宋体"/>
          <w:spacing w:val="8"/>
          <w:sz w:val="24"/>
          <w:szCs w:val="24"/>
          <w:shd w:val="clear" w:color="auto" w:fill="FFFFFF"/>
        </w:rPr>
        <w:t>6</w:t>
      </w:r>
      <w:r>
        <w:rPr>
          <w:rFonts w:ascii="宋体" w:hAnsi="宋体" w:eastAsia="宋体" w:cs="宋体"/>
          <w:spacing w:val="8"/>
          <w:sz w:val="24"/>
          <w:szCs w:val="24"/>
          <w:shd w:val="clear" w:color="auto" w:fill="FFFFFF"/>
        </w:rPr>
        <w:t>.</w:t>
      </w:r>
      <w:r>
        <w:rPr>
          <w:rFonts w:hint="eastAsia" w:ascii="宋体" w:hAnsi="宋体" w:eastAsia="宋体" w:cs="宋体"/>
          <w:spacing w:val="8"/>
          <w:sz w:val="24"/>
          <w:szCs w:val="24"/>
          <w:shd w:val="clear" w:color="auto" w:fill="FFFFFF"/>
        </w:rPr>
        <w:t>本项目不接受联合体投标。</w:t>
      </w:r>
    </w:p>
    <w:p>
      <w:pPr>
        <w:adjustRightInd w:val="0"/>
        <w:snapToGrid w:val="0"/>
        <w:spacing w:line="460" w:lineRule="exact"/>
        <w:ind w:firstLine="514"/>
        <w:rPr>
          <w:rFonts w:ascii="宋体" w:hAnsi="宋体" w:eastAsia="宋体" w:cs="宋体"/>
          <w:b/>
          <w:spacing w:val="8"/>
          <w:sz w:val="24"/>
          <w:szCs w:val="24"/>
          <w:shd w:val="clear" w:color="auto" w:fill="FFFFFF"/>
        </w:rPr>
      </w:pPr>
      <w:r>
        <w:rPr>
          <w:rFonts w:hint="eastAsia" w:ascii="宋体" w:hAnsi="宋体" w:eastAsia="宋体" w:cs="宋体"/>
          <w:b/>
          <w:spacing w:val="8"/>
          <w:sz w:val="24"/>
          <w:szCs w:val="24"/>
          <w:shd w:val="clear" w:color="auto" w:fill="FFFFFF"/>
        </w:rPr>
        <w:t>三、服务项目及要求</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（一）服务项目</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1.医院日常工程造价相关法律、法规、政策及业务咨询，零星工程造价咨询服务；</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2.政采项目、立项审批项目（政府指定审计项目除外）；</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3.医院零星工程项目（含小型室内装饰装修、水电改造，小型土建工程，局部室外管网路面等）预算或结算的工程审计并出具工程结算审计报告等；</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4.政采项目、立项审批项目（政府指定审计项目除外）工程审计并出具工程结算审计报告；</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5.为医院提供工程造价咨询服务等。</w:t>
      </w:r>
    </w:p>
    <w:p>
      <w:pPr>
        <w:pStyle w:val="2"/>
        <w:spacing w:line="460" w:lineRule="exact"/>
        <w:rPr>
          <w:rFonts w:ascii="宋体" w:hAnsi="宋体" w:eastAsia="宋体" w:cs="宋体"/>
          <w:sz w:val="24"/>
          <w:szCs w:val="24"/>
        </w:rPr>
      </w:pPr>
      <w:r>
        <w:rPr>
          <w:rFonts w:hint="eastAsia" w:ascii="宋体" w:hAnsi="宋体" w:eastAsia="宋体" w:cs="宋体"/>
          <w:sz w:val="24"/>
          <w:szCs w:val="24"/>
        </w:rPr>
        <w:t xml:space="preserve">    （二）服务要求</w:t>
      </w:r>
    </w:p>
    <w:p>
      <w:pPr>
        <w:pStyle w:val="2"/>
        <w:spacing w:line="460" w:lineRule="exact"/>
        <w:rPr>
          <w:rFonts w:ascii="宋体" w:hAnsi="宋体" w:eastAsia="宋体" w:cs="宋体"/>
          <w:sz w:val="24"/>
          <w:szCs w:val="24"/>
        </w:rPr>
      </w:pPr>
      <w:r>
        <w:rPr>
          <w:rFonts w:hint="eastAsia" w:ascii="宋体" w:hAnsi="宋体" w:eastAsia="宋体" w:cs="宋体"/>
          <w:sz w:val="24"/>
          <w:szCs w:val="24"/>
        </w:rPr>
        <w:t xml:space="preserve">    1.有关咨询类服务，可采用电话、视频连线等方式，简易咨询供方需当场回复，较为复杂的1小时之内回复；</w:t>
      </w:r>
    </w:p>
    <w:p>
      <w:pPr>
        <w:pStyle w:val="2"/>
        <w:spacing w:line="460" w:lineRule="exact"/>
        <w:ind w:firstLine="480"/>
        <w:rPr>
          <w:rFonts w:ascii="宋体" w:hAnsi="宋体" w:eastAsia="宋体" w:cs="宋体"/>
          <w:sz w:val="24"/>
          <w:szCs w:val="24"/>
        </w:rPr>
      </w:pPr>
      <w:r>
        <w:rPr>
          <w:rFonts w:hint="eastAsia" w:ascii="宋体" w:hAnsi="宋体" w:eastAsia="宋体" w:cs="宋体"/>
          <w:sz w:val="24"/>
          <w:szCs w:val="24"/>
        </w:rPr>
        <w:t>2.需要出具审计结算审计报告等项目，供方需先进行现场踏勘后，再出具报告。</w:t>
      </w:r>
    </w:p>
    <w:p>
      <w:pPr>
        <w:pStyle w:val="2"/>
        <w:spacing w:line="460" w:lineRule="exact"/>
        <w:ind w:firstLine="480"/>
        <w:rPr>
          <w:rFonts w:ascii="宋体" w:hAnsi="宋体" w:eastAsia="宋体" w:cs="宋体"/>
          <w:sz w:val="24"/>
          <w:szCs w:val="24"/>
        </w:rPr>
      </w:pPr>
      <w:r>
        <w:rPr>
          <w:rFonts w:hint="eastAsia" w:ascii="宋体" w:hAnsi="宋体" w:eastAsia="宋体" w:cs="宋体"/>
          <w:sz w:val="24"/>
          <w:szCs w:val="24"/>
        </w:rPr>
        <w:t>3.供方需指定至少一名项目负责人负责医院的工程造价咨询等工作。</w:t>
      </w:r>
    </w:p>
    <w:p>
      <w:pPr>
        <w:pStyle w:val="2"/>
        <w:spacing w:line="460" w:lineRule="exact"/>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四、付款方式</w:t>
      </w:r>
    </w:p>
    <w:p>
      <w:pPr>
        <w:pStyle w:val="2"/>
        <w:spacing w:line="460" w:lineRule="exact"/>
        <w:rPr>
          <w:rFonts w:ascii="宋体" w:hAnsi="宋体" w:eastAsia="宋体" w:cs="宋体"/>
          <w:sz w:val="24"/>
          <w:szCs w:val="24"/>
        </w:rPr>
      </w:pPr>
      <w:r>
        <w:rPr>
          <w:rFonts w:hint="eastAsia" w:ascii="宋体" w:hAnsi="宋体" w:eastAsia="宋体" w:cs="宋体"/>
          <w:sz w:val="24"/>
          <w:szCs w:val="24"/>
        </w:rPr>
        <w:t xml:space="preserve">    每个服务项目出具审计结算审计报告后，院方予以付款。</w:t>
      </w:r>
    </w:p>
    <w:p>
      <w:pPr>
        <w:spacing w:line="460" w:lineRule="exact"/>
        <w:ind w:firstLine="512" w:firstLineChars="200"/>
        <w:rPr>
          <w:rFonts w:ascii="宋体" w:hAnsi="宋体" w:eastAsia="宋体" w:cs="宋体"/>
          <w:b/>
          <w:spacing w:val="8"/>
          <w:sz w:val="24"/>
          <w:szCs w:val="24"/>
          <w:shd w:val="clear" w:color="auto" w:fill="FFFFFF"/>
        </w:rPr>
      </w:pPr>
      <w:r>
        <w:rPr>
          <w:rFonts w:hint="eastAsia" w:ascii="宋体" w:hAnsi="宋体" w:eastAsia="宋体" w:cs="宋体"/>
          <w:b/>
          <w:spacing w:val="8"/>
          <w:sz w:val="24"/>
          <w:szCs w:val="24"/>
          <w:shd w:val="clear" w:color="auto" w:fill="FFFFFF"/>
        </w:rPr>
        <w:t>五、报价要求</w:t>
      </w:r>
    </w:p>
    <w:p>
      <w:pPr>
        <w:spacing w:line="460" w:lineRule="exact"/>
        <w:ind w:firstLine="560"/>
        <w:rPr>
          <w:rFonts w:ascii="宋体" w:hAnsi="宋体" w:eastAsia="宋体" w:cs="宋体"/>
          <w:sz w:val="24"/>
          <w:szCs w:val="24"/>
        </w:rPr>
      </w:pPr>
      <w:r>
        <w:rPr>
          <w:rFonts w:hint="eastAsia" w:ascii="宋体" w:hAnsi="宋体" w:eastAsia="宋体" w:cs="宋体"/>
          <w:sz w:val="24"/>
          <w:szCs w:val="24"/>
        </w:rPr>
        <w:t xml:space="preserve">造价咨询服务费按《关于工程造价咨询服务项目及价格的通知》津价房地[2008]136号文件规定，结合实际工作情况进行报价：  </w:t>
      </w:r>
    </w:p>
    <w:p>
      <w:pPr>
        <w:numPr>
          <w:ilvl w:val="0"/>
          <w:numId w:val="2"/>
        </w:num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工程造价不足10万元的项目，按工程造价结算审核每个项目，工程造价咨询服务费人民币</w:t>
      </w:r>
      <w:r>
        <w:rPr>
          <w:rFonts w:hint="eastAsia" w:ascii="宋体" w:hAnsi="宋体" w:eastAsia="宋体" w:cs="宋体"/>
          <w:sz w:val="24"/>
          <w:szCs w:val="24"/>
          <w:u w:val="single"/>
        </w:rPr>
        <w:t xml:space="preserve"> 1000 </w:t>
      </w:r>
      <w:r>
        <w:rPr>
          <w:rFonts w:hint="eastAsia" w:ascii="宋体" w:hAnsi="宋体" w:eastAsia="宋体" w:cs="宋体"/>
          <w:sz w:val="24"/>
          <w:szCs w:val="24"/>
        </w:rPr>
        <w:t>元收费；</w:t>
      </w:r>
    </w:p>
    <w:p>
      <w:pPr>
        <w:spacing w:line="460" w:lineRule="exact"/>
        <w:ind w:firstLine="560"/>
        <w:rPr>
          <w:rFonts w:ascii="宋体" w:hAnsi="宋体" w:eastAsia="宋体" w:cs="宋体"/>
          <w:sz w:val="24"/>
          <w:szCs w:val="24"/>
        </w:rPr>
      </w:pPr>
      <w:r>
        <w:rPr>
          <w:rFonts w:hint="eastAsia" w:ascii="宋体" w:hAnsi="宋体" w:eastAsia="宋体" w:cs="宋体"/>
          <w:sz w:val="24"/>
          <w:szCs w:val="24"/>
        </w:rPr>
        <w:t>2.工程造价10万元及以上的项目，工程造价结算审核基本收费按送审额的</w:t>
      </w:r>
      <w:r>
        <w:rPr>
          <w:rFonts w:hint="eastAsia" w:ascii="宋体" w:hAnsi="宋体" w:eastAsia="宋体" w:cs="宋体"/>
          <w:sz w:val="24"/>
          <w:szCs w:val="24"/>
          <w:u w:val="single"/>
        </w:rPr>
        <w:t xml:space="preserve">   3  </w:t>
      </w:r>
      <w:r>
        <w:rPr>
          <w:rFonts w:hint="eastAsia" w:ascii="宋体" w:hAnsi="宋体" w:eastAsia="宋体" w:cs="宋体"/>
          <w:sz w:val="24"/>
          <w:szCs w:val="24"/>
        </w:rPr>
        <w:t>‰计取，追加收费按照审减（增）额的</w:t>
      </w:r>
      <w:r>
        <w:rPr>
          <w:rFonts w:hint="eastAsia" w:ascii="宋体" w:hAnsi="宋体" w:eastAsia="宋体" w:cs="宋体"/>
          <w:sz w:val="24"/>
          <w:szCs w:val="24"/>
          <w:u w:val="single"/>
        </w:rPr>
        <w:t xml:space="preserve">   5  </w:t>
      </w:r>
      <w:r>
        <w:rPr>
          <w:rFonts w:hint="eastAsia" w:ascii="宋体" w:hAnsi="宋体" w:eastAsia="宋体" w:cs="宋体"/>
          <w:sz w:val="24"/>
          <w:szCs w:val="24"/>
        </w:rPr>
        <w:t>%计取。供应商报价为总收费金额折扣率（%）</w:t>
      </w:r>
      <w:r>
        <w:rPr>
          <w:rFonts w:hint="eastAsia" w:ascii="宋体" w:hAnsi="宋体" w:eastAsia="宋体" w:cs="宋体"/>
          <w:sz w:val="24"/>
          <w:szCs w:val="24"/>
          <w:u w:val="single"/>
        </w:rPr>
        <w:t xml:space="preserve">      </w:t>
      </w:r>
      <w:r>
        <w:rPr>
          <w:rFonts w:hint="eastAsia" w:ascii="宋体" w:hAnsi="宋体" w:eastAsia="宋体" w:cs="宋体"/>
          <w:sz w:val="24"/>
          <w:szCs w:val="24"/>
        </w:rPr>
        <w:t>；（优惠后的金额低于1</w:t>
      </w:r>
      <w:r>
        <w:rPr>
          <w:rFonts w:ascii="宋体" w:hAnsi="宋体" w:eastAsia="宋体" w:cs="宋体"/>
          <w:sz w:val="24"/>
          <w:szCs w:val="24"/>
        </w:rPr>
        <w:t>000</w:t>
      </w:r>
      <w:r>
        <w:rPr>
          <w:rFonts w:hint="eastAsia" w:ascii="宋体" w:hAnsi="宋体" w:eastAsia="宋体" w:cs="宋体"/>
          <w:sz w:val="24"/>
          <w:szCs w:val="24"/>
        </w:rPr>
        <w:t>元的按1</w:t>
      </w:r>
      <w:r>
        <w:rPr>
          <w:rFonts w:ascii="宋体" w:hAnsi="宋体" w:eastAsia="宋体" w:cs="宋体"/>
          <w:sz w:val="24"/>
          <w:szCs w:val="24"/>
        </w:rPr>
        <w:t>000</w:t>
      </w:r>
      <w:r>
        <w:rPr>
          <w:rFonts w:hint="eastAsia" w:ascii="宋体" w:hAnsi="宋体" w:eastAsia="宋体" w:cs="宋体"/>
          <w:sz w:val="24"/>
          <w:szCs w:val="24"/>
        </w:rPr>
        <w:t>元收取）</w:t>
      </w:r>
    </w:p>
    <w:p>
      <w:pPr>
        <w:spacing w:line="460" w:lineRule="exact"/>
        <w:ind w:firstLine="560"/>
        <w:rPr>
          <w:rFonts w:ascii="宋体" w:hAnsi="宋体" w:eastAsia="宋体" w:cs="宋体"/>
          <w:sz w:val="24"/>
          <w:szCs w:val="24"/>
        </w:rPr>
      </w:pPr>
      <w:r>
        <w:rPr>
          <w:rFonts w:hint="eastAsia" w:ascii="宋体" w:hAnsi="宋体" w:eastAsia="宋体" w:cs="宋体"/>
          <w:sz w:val="24"/>
          <w:szCs w:val="24"/>
        </w:rPr>
        <w:t>3.其他收费方式：</w:t>
      </w:r>
      <w:r>
        <w:rPr>
          <w:rFonts w:hint="eastAsia" w:ascii="宋体" w:hAnsi="宋体" w:eastAsia="宋体" w:cs="宋体"/>
          <w:b/>
          <w:bCs/>
          <w:sz w:val="24"/>
          <w:szCs w:val="24"/>
        </w:rPr>
        <w:t>（如有其他收费方式，请在此列出）</w:t>
      </w:r>
    </w:p>
    <w:p>
      <w:pPr>
        <w:pStyle w:val="2"/>
      </w:pPr>
    </w:p>
    <w:p>
      <w:pPr>
        <w:adjustRightInd w:val="0"/>
        <w:snapToGrid w:val="0"/>
        <w:spacing w:line="480" w:lineRule="exact"/>
        <w:jc w:val="center"/>
        <w:rPr>
          <w:rFonts w:ascii="宋体" w:hAnsi="宋体" w:eastAsia="宋体" w:cs="宋体"/>
          <w:sz w:val="30"/>
          <w:szCs w:val="30"/>
        </w:rPr>
      </w:pPr>
      <w:r>
        <w:rPr>
          <w:rFonts w:hint="eastAsia" w:ascii="宋体" w:hAnsi="宋体" w:eastAsia="宋体" w:cs="宋体"/>
          <w:b/>
          <w:spacing w:val="8"/>
          <w:sz w:val="24"/>
          <w:szCs w:val="24"/>
          <w:shd w:val="clear" w:color="auto" w:fill="FFFFFF"/>
        </w:rPr>
        <w:br w:type="page"/>
      </w:r>
      <w:r>
        <w:rPr>
          <w:rFonts w:hint="eastAsia" w:ascii="宋体" w:hAnsi="宋体" w:eastAsia="宋体" w:cs="宋体"/>
          <w:b/>
          <w:sz w:val="30"/>
          <w:szCs w:val="30"/>
        </w:rPr>
        <w:t>评 分 表</w:t>
      </w:r>
    </w:p>
    <w:p>
      <w:pPr>
        <w:spacing w:line="480" w:lineRule="exact"/>
        <w:rPr>
          <w:rFonts w:ascii="宋体" w:hAnsi="宋体" w:eastAsia="宋体" w:cs="宋体"/>
          <w:b/>
          <w:sz w:val="24"/>
          <w:szCs w:val="24"/>
        </w:rPr>
      </w:pPr>
    </w:p>
    <w:tbl>
      <w:tblPr>
        <w:tblStyle w:val="8"/>
        <w:tblW w:w="8179" w:type="dxa"/>
        <w:tblInd w:w="0" w:type="dxa"/>
        <w:tblLayout w:type="fixed"/>
        <w:tblCellMar>
          <w:top w:w="0" w:type="dxa"/>
          <w:left w:w="108" w:type="dxa"/>
          <w:bottom w:w="0" w:type="dxa"/>
          <w:right w:w="108" w:type="dxa"/>
        </w:tblCellMar>
      </w:tblPr>
      <w:tblGrid>
        <w:gridCol w:w="800"/>
        <w:gridCol w:w="1530"/>
        <w:gridCol w:w="914"/>
        <w:gridCol w:w="4935"/>
      </w:tblGrid>
      <w:tr>
        <w:tblPrEx>
          <w:tblCellMar>
            <w:top w:w="0" w:type="dxa"/>
            <w:left w:w="108" w:type="dxa"/>
            <w:bottom w:w="0" w:type="dxa"/>
            <w:right w:w="108" w:type="dxa"/>
          </w:tblCellMar>
        </w:tblPrEx>
        <w:trPr>
          <w:trHeight w:val="1" w:hRule="atLeast"/>
        </w:trPr>
        <w:tc>
          <w:tcPr>
            <w:tcW w:w="8179" w:type="dxa"/>
            <w:gridSpan w:val="4"/>
            <w:tcBorders>
              <w:top w:val="nil"/>
              <w:left w:val="nil"/>
              <w:bottom w:val="single" w:color="auto" w:sz="4" w:space="0"/>
              <w:right w:val="nil"/>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1" w:hRule="atLeast"/>
        </w:trPr>
        <w:tc>
          <w:tcPr>
            <w:tcW w:w="800"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1530"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评分项目</w:t>
            </w:r>
          </w:p>
        </w:tc>
        <w:tc>
          <w:tcPr>
            <w:tcW w:w="914"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满分</w:t>
            </w:r>
          </w:p>
        </w:tc>
        <w:tc>
          <w:tcPr>
            <w:tcW w:w="4935"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评分标准</w:t>
            </w:r>
          </w:p>
        </w:tc>
      </w:tr>
      <w:tr>
        <w:tblPrEx>
          <w:tblCellMar>
            <w:top w:w="0" w:type="dxa"/>
            <w:left w:w="108" w:type="dxa"/>
            <w:bottom w:w="0" w:type="dxa"/>
            <w:right w:w="108" w:type="dxa"/>
          </w:tblCellMar>
        </w:tblPrEx>
        <w:trPr>
          <w:trHeight w:val="1" w:hRule="atLeast"/>
        </w:trPr>
        <w:tc>
          <w:tcPr>
            <w:tcW w:w="8179" w:type="dxa"/>
            <w:gridSpan w:val="4"/>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480" w:lineRule="exact"/>
              <w:rPr>
                <w:rFonts w:ascii="宋体" w:hAnsi="宋体" w:eastAsia="宋体" w:cs="宋体"/>
                <w:sz w:val="24"/>
                <w:szCs w:val="24"/>
              </w:rPr>
            </w:pPr>
            <w:r>
              <w:rPr>
                <w:rFonts w:hint="eastAsia" w:ascii="宋体" w:hAnsi="宋体" w:eastAsia="宋体" w:cs="宋体"/>
                <w:sz w:val="24"/>
                <w:szCs w:val="24"/>
              </w:rPr>
              <w:t>一、技术标评分标准：（70分）</w:t>
            </w:r>
          </w:p>
        </w:tc>
      </w:tr>
      <w:tr>
        <w:tblPrEx>
          <w:tblCellMar>
            <w:top w:w="0" w:type="dxa"/>
            <w:left w:w="108" w:type="dxa"/>
            <w:bottom w:w="0" w:type="dxa"/>
            <w:right w:w="108" w:type="dxa"/>
          </w:tblCellMar>
        </w:tblPrEx>
        <w:trPr>
          <w:trHeight w:val="867" w:hRule="atLeast"/>
        </w:trPr>
        <w:tc>
          <w:tcPr>
            <w:tcW w:w="800"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1</w:t>
            </w:r>
          </w:p>
        </w:tc>
        <w:tc>
          <w:tcPr>
            <w:tcW w:w="1530"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rPr>
                <w:sz w:val="24"/>
                <w:szCs w:val="24"/>
              </w:rPr>
            </w:pPr>
            <w:r>
              <w:rPr>
                <w:rFonts w:hint="eastAsia"/>
                <w:sz w:val="24"/>
                <w:szCs w:val="24"/>
              </w:rPr>
              <w:t>供应商能力</w:t>
            </w:r>
          </w:p>
          <w:p>
            <w:pPr>
              <w:pStyle w:val="2"/>
              <w:spacing w:line="360" w:lineRule="auto"/>
              <w:rPr>
                <w:sz w:val="24"/>
                <w:szCs w:val="24"/>
              </w:rPr>
            </w:pPr>
          </w:p>
        </w:tc>
        <w:tc>
          <w:tcPr>
            <w:tcW w:w="914"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15</w:t>
            </w:r>
          </w:p>
        </w:tc>
        <w:tc>
          <w:tcPr>
            <w:tcW w:w="4935" w:type="dxa"/>
            <w:tcBorders>
              <w:top w:val="single" w:color="auto" w:sz="4" w:space="0"/>
              <w:left w:val="single" w:color="000000" w:sz="4" w:space="0"/>
              <w:bottom w:val="single" w:color="auto" w:sz="4" w:space="0"/>
              <w:right w:val="single" w:color="000000" w:sz="4" w:space="0"/>
            </w:tcBorders>
            <w:shd w:val="clear" w:color="auto" w:fill="auto"/>
            <w:tcMar>
              <w:left w:w="14" w:type="dxa"/>
              <w:right w:w="14" w:type="dxa"/>
            </w:tcMar>
            <w:vAlign w:val="center"/>
          </w:tcPr>
          <w:p>
            <w:pPr>
              <w:adjustRightInd w:val="0"/>
              <w:snapToGrid w:val="0"/>
              <w:spacing w:line="360" w:lineRule="auto"/>
              <w:rPr>
                <w:sz w:val="24"/>
                <w:szCs w:val="24"/>
              </w:rPr>
            </w:pPr>
            <w:r>
              <w:rPr>
                <w:rFonts w:hint="eastAsia"/>
                <w:sz w:val="24"/>
                <w:szCs w:val="24"/>
              </w:rPr>
              <w:t>2018年至今类似项目，每提供1个合同或发票得5分，最高15分。须提供证明材料。</w:t>
            </w:r>
          </w:p>
        </w:tc>
      </w:tr>
      <w:tr>
        <w:tblPrEx>
          <w:tblCellMar>
            <w:top w:w="0" w:type="dxa"/>
            <w:left w:w="108" w:type="dxa"/>
            <w:bottom w:w="0" w:type="dxa"/>
            <w:right w:w="108" w:type="dxa"/>
          </w:tblCellMar>
        </w:tblPrEx>
        <w:trPr>
          <w:trHeight w:val="2310" w:hRule="atLeast"/>
        </w:trPr>
        <w:tc>
          <w:tcPr>
            <w:tcW w:w="800" w:type="dxa"/>
            <w:vMerge w:val="restart"/>
            <w:tcBorders>
              <w:top w:val="single" w:color="auto" w:sz="4" w:space="0"/>
              <w:left w:val="single" w:color="000000" w:sz="4" w:space="0"/>
              <w:right w:val="single" w:color="000000"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p>
        </w:tc>
        <w:tc>
          <w:tcPr>
            <w:tcW w:w="1530" w:type="dxa"/>
            <w:vMerge w:val="restart"/>
            <w:tcBorders>
              <w:top w:val="single" w:color="auto" w:sz="4" w:space="0"/>
              <w:left w:val="single" w:color="000000" w:sz="4" w:space="0"/>
              <w:right w:val="single" w:color="000000"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sz w:val="24"/>
                <w:szCs w:val="24"/>
              </w:rPr>
              <w:t>人员配备情况</w:t>
            </w:r>
          </w:p>
        </w:tc>
        <w:tc>
          <w:tcPr>
            <w:tcW w:w="914" w:type="dxa"/>
            <w:tcBorders>
              <w:top w:val="single" w:color="auto" w:sz="4" w:space="0"/>
              <w:left w:val="single" w:color="000000" w:sz="4" w:space="0"/>
              <w:bottom w:val="single" w:color="000000" w:sz="4" w:space="0"/>
              <w:right w:val="single" w:color="auto"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12</w:t>
            </w:r>
          </w:p>
        </w:tc>
        <w:tc>
          <w:tcPr>
            <w:tcW w:w="4935"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numPr>
                <w:ilvl w:val="0"/>
                <w:numId w:val="3"/>
              </w:numPr>
              <w:spacing w:line="360" w:lineRule="auto"/>
              <w:jc w:val="left"/>
              <w:rPr>
                <w:rFonts w:ascii="宋体" w:hAnsi="宋体" w:cs="宋体"/>
                <w:sz w:val="24"/>
                <w:szCs w:val="24"/>
              </w:rPr>
            </w:pPr>
            <w:r>
              <w:rPr>
                <w:rFonts w:hint="eastAsia" w:ascii="宋体" w:hAnsi="宋体" w:eastAsia="宋体" w:cs="宋体"/>
                <w:sz w:val="24"/>
                <w:szCs w:val="24"/>
              </w:rPr>
              <w:t>服务团队具有</w:t>
            </w:r>
            <w:r>
              <w:rPr>
                <w:rFonts w:hint="eastAsia"/>
                <w:sz w:val="24"/>
                <w:szCs w:val="24"/>
              </w:rPr>
              <w:t>造价工程师注册证书 8人得6分，每增加1人，增加3分，最多得12分；每减少1人，减少3分，减完为止。须提供造价师注册证书及造价师本人的社会保险费证明复印件；</w:t>
            </w:r>
          </w:p>
        </w:tc>
      </w:tr>
      <w:tr>
        <w:tblPrEx>
          <w:tblCellMar>
            <w:top w:w="0" w:type="dxa"/>
            <w:left w:w="108" w:type="dxa"/>
            <w:bottom w:w="0" w:type="dxa"/>
            <w:right w:w="108" w:type="dxa"/>
          </w:tblCellMar>
        </w:tblPrEx>
        <w:trPr>
          <w:trHeight w:val="955" w:hRule="atLeast"/>
        </w:trPr>
        <w:tc>
          <w:tcPr>
            <w:tcW w:w="800" w:type="dxa"/>
            <w:vMerge w:val="continue"/>
            <w:tcBorders>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pPr>
          </w:p>
        </w:tc>
        <w:tc>
          <w:tcPr>
            <w:tcW w:w="1530" w:type="dxa"/>
            <w:vMerge w:val="continue"/>
            <w:tcBorders>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pPr>
          </w:p>
        </w:tc>
        <w:tc>
          <w:tcPr>
            <w:tcW w:w="914" w:type="dxa"/>
            <w:tcBorders>
              <w:top w:val="single" w:color="auto" w:sz="4" w:space="0"/>
              <w:left w:val="single" w:color="000000" w:sz="4" w:space="0"/>
              <w:bottom w:val="single" w:color="000000" w:sz="4" w:space="0"/>
              <w:right w:val="single" w:color="auto"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8</w:t>
            </w:r>
          </w:p>
        </w:tc>
        <w:tc>
          <w:tcPr>
            <w:tcW w:w="4935" w:type="dxa"/>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2.根据供应商的服务团队对本项目的</w:t>
            </w:r>
            <w:r>
              <w:rPr>
                <w:rFonts w:hint="eastAsia"/>
                <w:sz w:val="24"/>
                <w:szCs w:val="24"/>
              </w:rPr>
              <w:t>人员配置、分工情况进行评价，配置5人及以上得8分，3至5人得5分，3人及以下得2分。</w:t>
            </w:r>
          </w:p>
        </w:tc>
      </w:tr>
      <w:tr>
        <w:tblPrEx>
          <w:tblCellMar>
            <w:top w:w="0" w:type="dxa"/>
            <w:left w:w="108" w:type="dxa"/>
            <w:bottom w:w="0" w:type="dxa"/>
            <w:right w:w="108" w:type="dxa"/>
          </w:tblCellMar>
        </w:tblPrEx>
        <w:trPr>
          <w:trHeight w:val="1"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服务方案</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30</w:t>
            </w:r>
          </w:p>
        </w:tc>
        <w:tc>
          <w:tcPr>
            <w:tcW w:w="4935" w:type="dxa"/>
            <w:tcBorders>
              <w:top w:val="single" w:color="auto"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根据供应商的整体服务方案进行评价，包括但不限于方案的完整性、详细性，全面性、可操作性。</w:t>
            </w:r>
          </w:p>
        </w:tc>
      </w:tr>
      <w:tr>
        <w:tblPrEx>
          <w:tblCellMar>
            <w:top w:w="0" w:type="dxa"/>
            <w:left w:w="108" w:type="dxa"/>
            <w:bottom w:w="0" w:type="dxa"/>
            <w:right w:w="108" w:type="dxa"/>
          </w:tblCellMar>
        </w:tblPrEx>
        <w:trPr>
          <w:trHeight w:val="1"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sz w:val="24"/>
                <w:szCs w:val="24"/>
              </w:rPr>
              <w:t>保密方案</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493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360" w:lineRule="auto"/>
              <w:jc w:val="left"/>
              <w:rPr>
                <w:rFonts w:ascii="宋体" w:hAnsi="宋体" w:eastAsia="宋体" w:cs="宋体"/>
                <w:sz w:val="24"/>
                <w:szCs w:val="24"/>
              </w:rPr>
            </w:pPr>
            <w:r>
              <w:rPr>
                <w:rFonts w:hint="eastAsia" w:ascii="宋体" w:hAnsi="宋体" w:eastAsia="宋体" w:cs="宋体"/>
                <w:color w:val="000000"/>
                <w:sz w:val="24"/>
                <w:szCs w:val="24"/>
              </w:rPr>
              <w:t>根据供应商提供的保密管理方案规范性、切实可行性进行评价。</w:t>
            </w:r>
          </w:p>
        </w:tc>
      </w:tr>
      <w:tr>
        <w:tblPrEx>
          <w:tblCellMar>
            <w:top w:w="0" w:type="dxa"/>
            <w:left w:w="108" w:type="dxa"/>
            <w:bottom w:w="0" w:type="dxa"/>
            <w:right w:w="108" w:type="dxa"/>
          </w:tblCellMar>
        </w:tblPrEx>
        <w:trPr>
          <w:trHeight w:val="1" w:hRule="atLeast"/>
        </w:trPr>
        <w:tc>
          <w:tcPr>
            <w:tcW w:w="8179"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rPr>
                <w:rFonts w:ascii="宋体" w:hAnsi="宋体" w:eastAsia="宋体" w:cs="宋体"/>
                <w:sz w:val="24"/>
                <w:szCs w:val="24"/>
                <w:highlight w:val="green"/>
              </w:rPr>
            </w:pPr>
            <w:r>
              <w:rPr>
                <w:rFonts w:hint="eastAsia" w:ascii="宋体" w:hAnsi="宋体" w:eastAsia="宋体" w:cs="宋体"/>
                <w:sz w:val="24"/>
                <w:szCs w:val="24"/>
              </w:rPr>
              <w:t>二、商务标评分标准：（满分30分）</w:t>
            </w:r>
          </w:p>
        </w:tc>
      </w:tr>
      <w:tr>
        <w:tblPrEx>
          <w:tblCellMar>
            <w:top w:w="0" w:type="dxa"/>
            <w:left w:w="108" w:type="dxa"/>
            <w:bottom w:w="0" w:type="dxa"/>
            <w:right w:w="108" w:type="dxa"/>
          </w:tblCellMar>
        </w:tblPrEx>
        <w:trPr>
          <w:trHeight w:val="1" w:hRule="atLeast"/>
        </w:trPr>
        <w:tc>
          <w:tcPr>
            <w:tcW w:w="8179"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480" w:lineRule="exact"/>
              <w:jc w:val="left"/>
              <w:rPr>
                <w:rFonts w:ascii="宋体" w:hAnsi="宋体" w:eastAsia="宋体" w:cs="宋体"/>
                <w:sz w:val="24"/>
                <w:szCs w:val="24"/>
                <w:highlight w:val="green"/>
              </w:rPr>
            </w:pPr>
            <w:r>
              <w:rPr>
                <w:rFonts w:hint="eastAsia" w:ascii="宋体" w:hAnsi="宋体" w:cs="宋体"/>
                <w:sz w:val="24"/>
                <w:szCs w:val="24"/>
              </w:rPr>
              <w:t>根据折扣率进行评分，评分规则：折扣率最低报价为满分30分，依次排序递减5分，减完为止。</w:t>
            </w:r>
          </w:p>
        </w:tc>
      </w:tr>
    </w:tbl>
    <w:p>
      <w:pPr>
        <w:spacing w:line="480" w:lineRule="exact"/>
        <w:rPr>
          <w:rFonts w:ascii="宋体" w:hAnsi="宋体" w:eastAsia="宋体" w:cs="宋体"/>
          <w:b/>
          <w:sz w:val="24"/>
          <w:szCs w:val="24"/>
        </w:rPr>
      </w:pPr>
      <w:r>
        <w:rPr>
          <w:rFonts w:hint="eastAsia" w:ascii="宋体" w:hAnsi="宋体" w:eastAsia="宋体" w:cs="宋体"/>
          <w:b/>
          <w:sz w:val="24"/>
          <w:szCs w:val="24"/>
        </w:rPr>
        <w:t>★ 如评分表中除价格因素外的其他评分因素得分之和低于除价格因素外其他评分因素总分的60%，则视为无效标。</w:t>
      </w:r>
    </w:p>
    <w:p>
      <w:pPr>
        <w:spacing w:line="360" w:lineRule="auto"/>
        <w:rPr>
          <w:rFonts w:ascii="宋体" w:hAnsi="宋体" w:eastAsia="宋体" w:cs="宋体"/>
          <w:b/>
          <w:sz w:val="24"/>
          <w:szCs w:val="24"/>
        </w:rPr>
      </w:pPr>
    </w:p>
    <w:p>
      <w:pPr>
        <w:spacing w:line="360" w:lineRule="auto"/>
        <w:rPr>
          <w:rFonts w:ascii="宋体" w:hAnsi="宋体" w:eastAsia="宋体" w:cs="宋体"/>
          <w:b/>
          <w:sz w:val="24"/>
          <w:szCs w:val="24"/>
          <w:shd w:val="clear" w:color="auto" w:fill="000000"/>
        </w:rPr>
      </w:pPr>
    </w:p>
    <w:p>
      <w:pPr>
        <w:rPr>
          <w:rFonts w:ascii="宋体" w:hAnsi="宋体" w:eastAsia="宋体" w:cs="宋体"/>
          <w:b/>
          <w:sz w:val="24"/>
          <w:szCs w:val="24"/>
          <w:shd w:val="clear" w:color="auto" w:fill="000000"/>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spacing w:line="460" w:lineRule="exact"/>
        <w:rPr>
          <w:rFonts w:ascii="宋体" w:hAnsi="宋体" w:eastAsia="宋体" w:cs="宋体"/>
          <w:b/>
          <w:sz w:val="24"/>
          <w:szCs w:val="24"/>
        </w:rPr>
      </w:pPr>
      <w:r>
        <w:rPr>
          <w:rFonts w:hint="eastAsia" w:ascii="宋体" w:hAnsi="宋体" w:eastAsia="宋体" w:cs="宋体"/>
          <w:b/>
          <w:sz w:val="24"/>
          <w:szCs w:val="24"/>
        </w:rPr>
        <w:t>附件一：供应商资质审查内容要求</w:t>
      </w:r>
    </w:p>
    <w:tbl>
      <w:tblPr>
        <w:tblStyle w:val="8"/>
        <w:tblpPr w:leftFromText="180" w:rightFromText="180" w:vertAnchor="text" w:horzAnchor="page" w:tblpX="1815" w:tblpY="659"/>
        <w:tblOverlap w:val="never"/>
        <w:tblW w:w="8173" w:type="dxa"/>
        <w:tblInd w:w="0" w:type="dxa"/>
        <w:tblLayout w:type="fixed"/>
        <w:tblCellMar>
          <w:top w:w="0" w:type="dxa"/>
          <w:left w:w="108" w:type="dxa"/>
          <w:bottom w:w="0" w:type="dxa"/>
          <w:right w:w="108" w:type="dxa"/>
        </w:tblCellMar>
      </w:tblPr>
      <w:tblGrid>
        <w:gridCol w:w="805"/>
        <w:gridCol w:w="3523"/>
        <w:gridCol w:w="3845"/>
      </w:tblGrid>
      <w:tr>
        <w:tblPrEx>
          <w:tblCellMar>
            <w:top w:w="0" w:type="dxa"/>
            <w:left w:w="108" w:type="dxa"/>
            <w:bottom w:w="0" w:type="dxa"/>
            <w:right w:w="108" w:type="dxa"/>
          </w:tblCellMar>
        </w:tblPrEx>
        <w:trPr>
          <w:trHeight w:val="1" w:hRule="atLeast"/>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spacing w:line="460" w:lineRule="exact"/>
              <w:jc w:val="center"/>
              <w:rPr>
                <w:rFonts w:ascii="宋体" w:hAnsi="宋体" w:eastAsia="宋体" w:cs="宋体"/>
                <w:sz w:val="24"/>
                <w:szCs w:val="24"/>
              </w:rPr>
            </w:pPr>
            <w:r>
              <w:rPr>
                <w:rFonts w:hint="eastAsia" w:ascii="宋体" w:hAnsi="宋体" w:eastAsia="宋体" w:cs="宋体"/>
                <w:b/>
                <w:sz w:val="24"/>
                <w:szCs w:val="24"/>
              </w:rPr>
              <w:t>序号</w:t>
            </w:r>
          </w:p>
        </w:tc>
        <w:tc>
          <w:tcPr>
            <w:tcW w:w="3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spacing w:line="460" w:lineRule="exact"/>
              <w:jc w:val="center"/>
              <w:rPr>
                <w:rFonts w:ascii="宋体" w:hAnsi="宋体" w:eastAsia="宋体" w:cs="宋体"/>
                <w:sz w:val="24"/>
                <w:szCs w:val="24"/>
              </w:rPr>
            </w:pPr>
            <w:r>
              <w:rPr>
                <w:rFonts w:hint="eastAsia" w:ascii="宋体" w:hAnsi="宋体" w:eastAsia="宋体" w:cs="宋体"/>
                <w:b/>
                <w:sz w:val="24"/>
                <w:szCs w:val="24"/>
              </w:rPr>
              <w:t>资质文件审查内容</w:t>
            </w:r>
          </w:p>
        </w:tc>
        <w:tc>
          <w:tcPr>
            <w:tcW w:w="3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spacing w:line="460" w:lineRule="exact"/>
              <w:jc w:val="center"/>
              <w:rPr>
                <w:rFonts w:ascii="宋体" w:hAnsi="宋体" w:eastAsia="宋体" w:cs="宋体"/>
                <w:sz w:val="24"/>
                <w:szCs w:val="24"/>
              </w:rPr>
            </w:pPr>
            <w:r>
              <w:rPr>
                <w:rFonts w:hint="eastAsia" w:ascii="宋体" w:hAnsi="宋体" w:eastAsia="宋体" w:cs="宋体"/>
                <w:b/>
                <w:sz w:val="24"/>
                <w:szCs w:val="24"/>
              </w:rPr>
              <w:t>资质文件提供材料</w:t>
            </w:r>
          </w:p>
        </w:tc>
      </w:tr>
      <w:tr>
        <w:tblPrEx>
          <w:tblCellMar>
            <w:top w:w="0" w:type="dxa"/>
            <w:left w:w="108" w:type="dxa"/>
            <w:bottom w:w="0" w:type="dxa"/>
            <w:right w:w="108" w:type="dxa"/>
          </w:tblCellMar>
        </w:tblPrEx>
        <w:trPr>
          <w:trHeight w:val="1" w:hRule="atLeast"/>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jc w:val="center"/>
              <w:rPr>
                <w:rFonts w:ascii="宋体" w:hAnsi="宋体" w:eastAsia="宋体" w:cs="宋体"/>
                <w:sz w:val="24"/>
                <w:szCs w:val="24"/>
              </w:rPr>
            </w:pPr>
            <w:r>
              <w:rPr>
                <w:rFonts w:hint="eastAsia" w:ascii="宋体" w:hAnsi="宋体" w:eastAsia="宋体" w:cs="宋体"/>
                <w:sz w:val="24"/>
                <w:szCs w:val="24"/>
              </w:rPr>
              <w:t xml:space="preserve"> 1</w:t>
            </w:r>
          </w:p>
        </w:tc>
        <w:tc>
          <w:tcPr>
            <w:tcW w:w="3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z w:val="24"/>
                <w:szCs w:val="24"/>
              </w:rPr>
              <w:t>投标人必须是在中华人民共和国境内注册并合法运作的独立法人机构，具有合法的《营业执照》等资质。</w:t>
            </w:r>
          </w:p>
        </w:tc>
        <w:tc>
          <w:tcPr>
            <w:tcW w:w="3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spacing w:line="460" w:lineRule="exact"/>
              <w:rPr>
                <w:rFonts w:ascii="宋体" w:hAnsi="宋体" w:eastAsia="宋体" w:cs="宋体"/>
                <w:sz w:val="24"/>
                <w:szCs w:val="24"/>
              </w:rPr>
            </w:pPr>
            <w:r>
              <w:rPr>
                <w:rFonts w:hint="eastAsia" w:ascii="宋体" w:hAnsi="宋体" w:eastAsia="宋体" w:cs="宋体"/>
                <w:sz w:val="24"/>
                <w:szCs w:val="24"/>
              </w:rPr>
              <w:t>须开标时提供证件原件，并将复印件（加盖供应商公章）附于资质文件中。</w:t>
            </w:r>
          </w:p>
        </w:tc>
      </w:tr>
      <w:tr>
        <w:tblPrEx>
          <w:tblCellMar>
            <w:top w:w="0" w:type="dxa"/>
            <w:left w:w="108" w:type="dxa"/>
            <w:bottom w:w="0" w:type="dxa"/>
            <w:right w:w="108" w:type="dxa"/>
          </w:tblCellMar>
        </w:tblPrEx>
        <w:trPr>
          <w:trHeight w:val="1" w:hRule="atLeast"/>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jc w:val="center"/>
              <w:rPr>
                <w:rFonts w:ascii="宋体" w:hAnsi="宋体" w:eastAsia="宋体" w:cs="宋体"/>
                <w:sz w:val="24"/>
                <w:szCs w:val="24"/>
              </w:rPr>
            </w:pPr>
            <w:r>
              <w:rPr>
                <w:rFonts w:hint="eastAsia" w:ascii="宋体" w:hAnsi="宋体" w:eastAsia="宋体" w:cs="宋体"/>
                <w:sz w:val="24"/>
                <w:szCs w:val="24"/>
              </w:rPr>
              <w:t>2</w:t>
            </w:r>
          </w:p>
        </w:tc>
        <w:tc>
          <w:tcPr>
            <w:tcW w:w="3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pacing w:val="8"/>
                <w:sz w:val="24"/>
                <w:szCs w:val="24"/>
              </w:rPr>
            </w:pPr>
            <w:r>
              <w:rPr>
                <w:rFonts w:hint="eastAsia" w:ascii="宋体" w:hAnsi="宋体" w:eastAsia="宋体" w:cs="宋体"/>
                <w:spacing w:val="8"/>
                <w:sz w:val="24"/>
                <w:szCs w:val="24"/>
                <w:shd w:val="clear" w:color="auto" w:fill="FFFFFF"/>
              </w:rPr>
              <w:t>具有工程造价咨询乙级及以上资质。</w:t>
            </w:r>
          </w:p>
        </w:tc>
        <w:tc>
          <w:tcPr>
            <w:tcW w:w="3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z w:val="24"/>
                <w:szCs w:val="24"/>
              </w:rPr>
              <w:t>须开标时提供证件原件，并将复印件（加盖供应商公章）附于资质文件中。</w:t>
            </w:r>
          </w:p>
        </w:tc>
      </w:tr>
      <w:tr>
        <w:tblPrEx>
          <w:tblCellMar>
            <w:top w:w="0" w:type="dxa"/>
            <w:left w:w="108" w:type="dxa"/>
            <w:bottom w:w="0" w:type="dxa"/>
            <w:right w:w="108" w:type="dxa"/>
          </w:tblCellMar>
        </w:tblPrEx>
        <w:trPr>
          <w:trHeight w:val="1" w:hRule="atLeast"/>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jc w:val="center"/>
              <w:rPr>
                <w:rFonts w:ascii="宋体" w:hAnsi="宋体" w:eastAsia="宋体" w:cs="宋体"/>
                <w:sz w:val="24"/>
                <w:szCs w:val="24"/>
              </w:rPr>
            </w:pPr>
            <w:r>
              <w:rPr>
                <w:rFonts w:hint="eastAsia" w:ascii="宋体" w:hAnsi="宋体" w:eastAsia="宋体" w:cs="宋体"/>
                <w:sz w:val="24"/>
                <w:szCs w:val="24"/>
              </w:rPr>
              <w:t>3</w:t>
            </w:r>
          </w:p>
        </w:tc>
        <w:tc>
          <w:tcPr>
            <w:tcW w:w="3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pacing w:val="8"/>
                <w:sz w:val="24"/>
                <w:szCs w:val="24"/>
              </w:rPr>
              <w:t>具有良好的商业信誉和健全的财务会计制度。</w:t>
            </w:r>
          </w:p>
        </w:tc>
        <w:tc>
          <w:tcPr>
            <w:tcW w:w="3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z w:val="24"/>
                <w:szCs w:val="24"/>
              </w:rPr>
              <w:t>须提供上一个年度经第三方会计师事务所审计的企业财务报告或银行出具的资信证明(或书面声明函并加盖供应商公章），并附在资质文件中。</w:t>
            </w:r>
          </w:p>
        </w:tc>
      </w:tr>
      <w:tr>
        <w:tblPrEx>
          <w:tblCellMar>
            <w:top w:w="0" w:type="dxa"/>
            <w:left w:w="108" w:type="dxa"/>
            <w:bottom w:w="0" w:type="dxa"/>
            <w:right w:w="108" w:type="dxa"/>
          </w:tblCellMar>
        </w:tblPrEx>
        <w:trPr>
          <w:trHeight w:val="1" w:hRule="atLeast"/>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jc w:val="center"/>
              <w:rPr>
                <w:rFonts w:ascii="宋体" w:hAnsi="宋体" w:eastAsia="宋体" w:cs="宋体"/>
                <w:sz w:val="24"/>
                <w:szCs w:val="24"/>
              </w:rPr>
            </w:pPr>
            <w:r>
              <w:rPr>
                <w:rFonts w:hint="eastAsia" w:ascii="宋体" w:hAnsi="宋体" w:eastAsia="宋体" w:cs="宋体"/>
                <w:sz w:val="24"/>
                <w:szCs w:val="24"/>
              </w:rPr>
              <w:t>4</w:t>
            </w:r>
          </w:p>
        </w:tc>
        <w:tc>
          <w:tcPr>
            <w:tcW w:w="3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pacing w:val="8"/>
                <w:sz w:val="24"/>
                <w:szCs w:val="24"/>
              </w:rPr>
              <w:t>有依法缴纳税收和社会保障资金的良好记录。</w:t>
            </w:r>
          </w:p>
        </w:tc>
        <w:tc>
          <w:tcPr>
            <w:tcW w:w="3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z w:val="24"/>
                <w:szCs w:val="24"/>
              </w:rPr>
              <w:t>须提供依法缴纳税收的凭证及缴纳社会保险的凭证或书面声明函，并附在资质文件中。</w:t>
            </w:r>
          </w:p>
        </w:tc>
      </w:tr>
      <w:tr>
        <w:tblPrEx>
          <w:tblCellMar>
            <w:top w:w="0" w:type="dxa"/>
            <w:left w:w="108" w:type="dxa"/>
            <w:bottom w:w="0" w:type="dxa"/>
            <w:right w:w="108" w:type="dxa"/>
          </w:tblCellMar>
        </w:tblPrEx>
        <w:trPr>
          <w:trHeight w:val="1" w:hRule="atLeast"/>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jc w:val="center"/>
              <w:rPr>
                <w:rFonts w:ascii="宋体" w:hAnsi="宋体" w:eastAsia="宋体" w:cs="宋体"/>
                <w:sz w:val="24"/>
                <w:szCs w:val="24"/>
              </w:rPr>
            </w:pPr>
            <w:r>
              <w:rPr>
                <w:rFonts w:hint="eastAsia" w:ascii="宋体" w:hAnsi="宋体" w:eastAsia="宋体" w:cs="宋体"/>
                <w:sz w:val="24"/>
                <w:szCs w:val="24"/>
              </w:rPr>
              <w:t>5</w:t>
            </w:r>
          </w:p>
        </w:tc>
        <w:tc>
          <w:tcPr>
            <w:tcW w:w="35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宋体" w:hAnsi="宋体" w:eastAsia="宋体" w:cs="宋体"/>
                <w:sz w:val="24"/>
                <w:szCs w:val="24"/>
              </w:rPr>
            </w:pPr>
            <w:r>
              <w:rPr>
                <w:rFonts w:hint="eastAsia" w:ascii="宋体" w:hAnsi="宋体" w:eastAsia="宋体" w:cs="宋体"/>
                <w:spacing w:val="8"/>
                <w:sz w:val="24"/>
                <w:szCs w:val="24"/>
              </w:rPr>
              <w:t>参加采购活动前三年内，在经营活动中没有重大违法记录。</w:t>
            </w:r>
          </w:p>
        </w:tc>
        <w:tc>
          <w:tcPr>
            <w:tcW w:w="3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0"/>
                <w:tab w:val="left" w:pos="800"/>
                <w:tab w:val="left" w:pos="1100"/>
              </w:tabs>
              <w:spacing w:line="460" w:lineRule="exact"/>
              <w:rPr>
                <w:rFonts w:ascii="宋体" w:hAnsi="宋体" w:eastAsia="宋体" w:cs="宋体"/>
                <w:sz w:val="24"/>
                <w:szCs w:val="24"/>
              </w:rPr>
            </w:pPr>
            <w:r>
              <w:rPr>
                <w:rFonts w:hint="eastAsia" w:ascii="宋体" w:hAnsi="宋体" w:eastAsia="宋体" w:cs="宋体"/>
                <w:sz w:val="24"/>
                <w:szCs w:val="24"/>
              </w:rPr>
              <w:t>须提供书面声明函，并附在资质文件中。</w:t>
            </w:r>
            <w:r>
              <w:rPr>
                <w:rFonts w:hint="eastAsia" w:ascii="宋体" w:hAnsi="宋体" w:eastAsia="宋体" w:cs="宋体"/>
                <w:spacing w:val="8"/>
                <w:sz w:val="24"/>
                <w:szCs w:val="24"/>
                <w:shd w:val="clear" w:color="auto" w:fill="FFFFFF"/>
              </w:rPr>
              <w:t>（截至提交投标文件截止日成立不足3年的供应商可提供自成立以来无重大违法记录的书面声明）</w:t>
            </w:r>
          </w:p>
        </w:tc>
      </w:tr>
    </w:tbl>
    <w:p/>
    <w:p/>
    <w:p/>
    <w:p/>
    <w:p>
      <w:pPr>
        <w:jc w:val="center"/>
        <w:rPr>
          <w:b/>
          <w:bCs/>
          <w:sz w:val="30"/>
          <w:szCs w:val="30"/>
        </w:rPr>
      </w:pPr>
      <w:r>
        <w:br w:type="page"/>
      </w:r>
      <w:r>
        <w:rPr>
          <w:rFonts w:hint="eastAsia"/>
          <w:b/>
          <w:bCs/>
          <w:sz w:val="30"/>
          <w:szCs w:val="30"/>
        </w:rPr>
        <w:t>报价表</w:t>
      </w:r>
    </w:p>
    <w:p>
      <w:pPr>
        <w:pStyle w:val="2"/>
      </w:pPr>
    </w:p>
    <w:tbl>
      <w:tblPr>
        <w:tblStyle w:val="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54"/>
        <w:gridCol w:w="2493"/>
        <w:gridCol w:w="2835"/>
        <w:gridCol w:w="2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54" w:type="dxa"/>
            <w:vAlign w:val="center"/>
          </w:tcPr>
          <w:p>
            <w:pPr>
              <w:jc w:val="center"/>
              <w:rPr>
                <w:rFonts w:ascii="宋体" w:hAnsi="宋体" w:cs="黑体"/>
                <w:szCs w:val="21"/>
              </w:rPr>
            </w:pPr>
            <w:r>
              <w:rPr>
                <w:rFonts w:hint="eastAsia" w:ascii="宋体" w:hAnsi="宋体" w:cs="黑体"/>
                <w:szCs w:val="21"/>
              </w:rPr>
              <w:t>序号</w:t>
            </w:r>
          </w:p>
        </w:tc>
        <w:tc>
          <w:tcPr>
            <w:tcW w:w="2493" w:type="dxa"/>
            <w:vAlign w:val="center"/>
          </w:tcPr>
          <w:p>
            <w:pPr>
              <w:jc w:val="center"/>
              <w:rPr>
                <w:rFonts w:ascii="宋体" w:hAnsi="宋体" w:cs="黑体"/>
                <w:szCs w:val="21"/>
              </w:rPr>
            </w:pPr>
            <w:r>
              <w:rPr>
                <w:rFonts w:hint="eastAsia" w:ascii="宋体" w:hAnsi="宋体" w:cs="黑体"/>
                <w:szCs w:val="21"/>
              </w:rPr>
              <w:t>服务内容</w:t>
            </w:r>
          </w:p>
        </w:tc>
        <w:tc>
          <w:tcPr>
            <w:tcW w:w="2835" w:type="dxa"/>
            <w:vAlign w:val="center"/>
          </w:tcPr>
          <w:p>
            <w:pPr>
              <w:jc w:val="center"/>
              <w:rPr>
                <w:rFonts w:ascii="宋体" w:hAnsi="宋体" w:cs="黑体"/>
                <w:szCs w:val="21"/>
              </w:rPr>
            </w:pPr>
            <w:r>
              <w:rPr>
                <w:rFonts w:hint="eastAsia" w:ascii="宋体" w:hAnsi="宋体" w:cs="黑体"/>
                <w:szCs w:val="21"/>
              </w:rPr>
              <w:t>折扣率 （%）</w:t>
            </w:r>
          </w:p>
        </w:tc>
        <w:tc>
          <w:tcPr>
            <w:tcW w:w="2031" w:type="dxa"/>
            <w:vAlign w:val="center"/>
          </w:tcPr>
          <w:p>
            <w:pPr>
              <w:jc w:val="center"/>
              <w:rPr>
                <w:rFonts w:ascii="宋体" w:hAnsi="宋体" w:cs="黑体"/>
                <w:szCs w:val="21"/>
              </w:rPr>
            </w:pPr>
            <w:r>
              <w:rPr>
                <w:rFonts w:hint="eastAsia" w:ascii="宋体" w:hAnsi="宋体" w:cs="黑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54" w:type="dxa"/>
            <w:vAlign w:val="center"/>
          </w:tcPr>
          <w:p>
            <w:pPr>
              <w:jc w:val="center"/>
              <w:rPr>
                <w:rFonts w:ascii="宋体" w:hAnsi="宋体" w:cs="黑体"/>
                <w:szCs w:val="21"/>
              </w:rPr>
            </w:pPr>
          </w:p>
        </w:tc>
        <w:tc>
          <w:tcPr>
            <w:tcW w:w="2493" w:type="dxa"/>
            <w:vAlign w:val="center"/>
          </w:tcPr>
          <w:p>
            <w:pPr>
              <w:jc w:val="center"/>
              <w:rPr>
                <w:rFonts w:ascii="宋体" w:hAnsi="宋体" w:cs="黑体"/>
                <w:szCs w:val="21"/>
              </w:rPr>
            </w:pPr>
          </w:p>
        </w:tc>
        <w:tc>
          <w:tcPr>
            <w:tcW w:w="2835" w:type="dxa"/>
            <w:vAlign w:val="center"/>
          </w:tcPr>
          <w:p>
            <w:pPr>
              <w:jc w:val="center"/>
              <w:rPr>
                <w:rFonts w:ascii="宋体" w:hAnsi="宋体" w:cs="黑体"/>
                <w:szCs w:val="21"/>
              </w:rPr>
            </w:pPr>
          </w:p>
        </w:tc>
        <w:tc>
          <w:tcPr>
            <w:tcW w:w="2031" w:type="dxa"/>
            <w:vAlign w:val="center"/>
          </w:tcPr>
          <w:p>
            <w:pPr>
              <w:jc w:val="center"/>
              <w:rPr>
                <w:rFonts w:ascii="宋体" w:hAnsi="宋体" w:cs="黑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54" w:type="dxa"/>
            <w:vAlign w:val="center"/>
          </w:tcPr>
          <w:p>
            <w:pPr>
              <w:jc w:val="center"/>
              <w:rPr>
                <w:rFonts w:ascii="宋体" w:hAnsi="宋体" w:cs="黑体"/>
                <w:szCs w:val="21"/>
              </w:rPr>
            </w:pPr>
          </w:p>
        </w:tc>
        <w:tc>
          <w:tcPr>
            <w:tcW w:w="2493" w:type="dxa"/>
            <w:vAlign w:val="center"/>
          </w:tcPr>
          <w:p>
            <w:pPr>
              <w:jc w:val="center"/>
              <w:rPr>
                <w:rFonts w:ascii="宋体" w:hAnsi="宋体" w:eastAsia="宋体" w:cs="宋体"/>
                <w:sz w:val="24"/>
                <w:szCs w:val="24"/>
              </w:rPr>
            </w:pPr>
          </w:p>
        </w:tc>
        <w:tc>
          <w:tcPr>
            <w:tcW w:w="2835" w:type="dxa"/>
            <w:tcBorders>
              <w:bottom w:val="single" w:color="auto" w:sz="4" w:space="0"/>
            </w:tcBorders>
            <w:vAlign w:val="center"/>
          </w:tcPr>
          <w:p>
            <w:pPr>
              <w:jc w:val="center"/>
              <w:rPr>
                <w:rFonts w:ascii="宋体" w:hAnsi="宋体" w:cs="黑体"/>
                <w:szCs w:val="21"/>
              </w:rPr>
            </w:pPr>
          </w:p>
        </w:tc>
        <w:tc>
          <w:tcPr>
            <w:tcW w:w="2031" w:type="dxa"/>
            <w:vAlign w:val="center"/>
          </w:tcPr>
          <w:p>
            <w:pPr>
              <w:jc w:val="center"/>
              <w:rPr>
                <w:rFonts w:ascii="宋体" w:hAnsi="宋体" w:cs="黑体"/>
                <w:szCs w:val="21"/>
              </w:rPr>
            </w:pPr>
          </w:p>
        </w:tc>
      </w:tr>
    </w:tbl>
    <w:p>
      <w:pPr>
        <w:pStyle w:val="2"/>
      </w:pPr>
    </w:p>
    <w:p>
      <w:pPr>
        <w:pStyle w:val="2"/>
      </w:pPr>
    </w:p>
    <w:p>
      <w:pPr>
        <w:spacing w:line="460" w:lineRule="exact"/>
        <w:ind w:firstLine="560"/>
        <w:rPr>
          <w:rFonts w:ascii="宋体" w:hAnsi="宋体" w:eastAsia="宋体" w:cs="宋体"/>
          <w:sz w:val="24"/>
          <w:szCs w:val="24"/>
        </w:rPr>
      </w:pPr>
      <w:r>
        <w:rPr>
          <w:rFonts w:hint="eastAsia" w:ascii="宋体" w:hAnsi="宋体" w:eastAsia="宋体" w:cs="宋体"/>
          <w:sz w:val="24"/>
          <w:szCs w:val="24"/>
        </w:rPr>
        <w:t>工程造价10万元及以上的项目，工程造价结算审核基本收费按送审额的</w:t>
      </w:r>
      <w:r>
        <w:rPr>
          <w:rFonts w:hint="eastAsia" w:ascii="宋体" w:hAnsi="宋体" w:eastAsia="宋体" w:cs="宋体"/>
          <w:sz w:val="24"/>
          <w:szCs w:val="24"/>
          <w:u w:val="single"/>
        </w:rPr>
        <w:t xml:space="preserve">   3</w:t>
      </w:r>
      <w:r>
        <w:rPr>
          <w:rFonts w:hint="eastAsia" w:ascii="宋体" w:hAnsi="宋体" w:eastAsia="宋体" w:cs="宋体"/>
          <w:sz w:val="24"/>
          <w:szCs w:val="24"/>
        </w:rPr>
        <w:t>‰计取，追加收费按照审减（增）额的</w:t>
      </w:r>
      <w:r>
        <w:rPr>
          <w:rFonts w:hint="eastAsia" w:ascii="宋体" w:hAnsi="宋体" w:eastAsia="宋体" w:cs="宋体"/>
          <w:sz w:val="24"/>
          <w:szCs w:val="24"/>
          <w:u w:val="single"/>
        </w:rPr>
        <w:t>5</w:t>
      </w:r>
      <w:r>
        <w:rPr>
          <w:rFonts w:hint="eastAsia" w:ascii="宋体" w:hAnsi="宋体" w:eastAsia="宋体" w:cs="宋体"/>
          <w:sz w:val="24"/>
          <w:szCs w:val="24"/>
        </w:rPr>
        <w:t>%计取。</w:t>
      </w:r>
      <w:r>
        <w:rPr>
          <w:rFonts w:hint="eastAsia" w:ascii="宋体" w:hAnsi="宋体" w:eastAsia="宋体" w:cs="宋体"/>
          <w:b/>
          <w:bCs/>
          <w:sz w:val="24"/>
          <w:szCs w:val="24"/>
        </w:rPr>
        <w:t>供应商报价为总收费金额的折扣率（%）</w:t>
      </w:r>
      <w:r>
        <w:rPr>
          <w:rFonts w:hint="eastAsia" w:ascii="宋体" w:hAnsi="宋体" w:eastAsia="宋体" w:cs="宋体"/>
          <w:sz w:val="24"/>
          <w:szCs w:val="24"/>
        </w:rPr>
        <w:t>。</w:t>
      </w:r>
    </w:p>
    <w:p>
      <w:pPr>
        <w:pStyle w:val="4"/>
      </w:pPr>
    </w:p>
    <w:p>
      <w:pPr>
        <w:pStyle w:val="2"/>
      </w:pPr>
    </w:p>
    <w:p>
      <w:pPr>
        <w:pStyle w:val="2"/>
      </w:pPr>
    </w:p>
    <w:sectPr>
      <w:footerReference r:id="rId3" w:type="default"/>
      <w:pgSz w:w="11906" w:h="16838"/>
      <w:pgMar w:top="1440" w:right="1457" w:bottom="1440" w:left="1570" w:header="720" w:footer="72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39204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E68F7"/>
    <w:multiLevelType w:val="singleLevel"/>
    <w:tmpl w:val="915E68F7"/>
    <w:lvl w:ilvl="0" w:tentative="0">
      <w:start w:val="1"/>
      <w:numFmt w:val="chineseCounting"/>
      <w:suff w:val="nothing"/>
      <w:lvlText w:val="%1、"/>
      <w:lvlJc w:val="left"/>
      <w:rPr>
        <w:rFonts w:hint="eastAsia"/>
      </w:rPr>
    </w:lvl>
  </w:abstractNum>
  <w:abstractNum w:abstractNumId="1">
    <w:nsid w:val="DB241882"/>
    <w:multiLevelType w:val="singleLevel"/>
    <w:tmpl w:val="DB241882"/>
    <w:lvl w:ilvl="0" w:tentative="0">
      <w:start w:val="1"/>
      <w:numFmt w:val="decimal"/>
      <w:lvlText w:val="%1."/>
      <w:lvlJc w:val="left"/>
      <w:pPr>
        <w:tabs>
          <w:tab w:val="left" w:pos="312"/>
        </w:tabs>
      </w:pPr>
    </w:lvl>
  </w:abstractNum>
  <w:abstractNum w:abstractNumId="2">
    <w:nsid w:val="49791870"/>
    <w:multiLevelType w:val="singleLevel"/>
    <w:tmpl w:val="49791870"/>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5B"/>
    <w:rsid w:val="000675AF"/>
    <w:rsid w:val="00533AD9"/>
    <w:rsid w:val="005C0335"/>
    <w:rsid w:val="00611B9F"/>
    <w:rsid w:val="006856C4"/>
    <w:rsid w:val="008977FD"/>
    <w:rsid w:val="00984FF7"/>
    <w:rsid w:val="009D699F"/>
    <w:rsid w:val="00AB5324"/>
    <w:rsid w:val="00AB60F2"/>
    <w:rsid w:val="00B6551F"/>
    <w:rsid w:val="00BB4330"/>
    <w:rsid w:val="00C1055B"/>
    <w:rsid w:val="00D425A0"/>
    <w:rsid w:val="00FE4B2D"/>
    <w:rsid w:val="00FE759E"/>
    <w:rsid w:val="12DF59C6"/>
    <w:rsid w:val="153F60BD"/>
    <w:rsid w:val="17551B8C"/>
    <w:rsid w:val="1F882CBB"/>
    <w:rsid w:val="248C6FB0"/>
    <w:rsid w:val="28B83C1A"/>
    <w:rsid w:val="2F8B37F2"/>
    <w:rsid w:val="3EFA358F"/>
    <w:rsid w:val="45703DC0"/>
    <w:rsid w:val="503D0378"/>
    <w:rsid w:val="50A17955"/>
    <w:rsid w:val="50E54B4A"/>
    <w:rsid w:val="524C3CC5"/>
    <w:rsid w:val="5AAF5F9B"/>
    <w:rsid w:val="5C8202D4"/>
    <w:rsid w:val="5FCB128B"/>
    <w:rsid w:val="60122F87"/>
    <w:rsid w:val="69817839"/>
    <w:rsid w:val="69D509D4"/>
    <w:rsid w:val="706F63DA"/>
    <w:rsid w:val="723E37DC"/>
    <w:rsid w:val="73911C8B"/>
    <w:rsid w:val="767C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style>
  <w:style w:type="paragraph" w:styleId="3">
    <w:name w:val="annotation text"/>
    <w:basedOn w:val="1"/>
    <w:qFormat/>
    <w:uiPriority w:val="0"/>
    <w:pPr>
      <w:adjustRightInd w:val="0"/>
      <w:spacing w:line="360" w:lineRule="atLeast"/>
      <w:jc w:val="left"/>
      <w:textAlignment w:val="baseline"/>
    </w:pPr>
    <w:rPr>
      <w:rFonts w:ascii="Times New Roman" w:hAnsi="Times New Roman"/>
      <w:sz w:val="24"/>
    </w:rPr>
  </w:style>
  <w:style w:type="paragraph" w:styleId="4">
    <w:name w:val="Body Text"/>
    <w:basedOn w:val="1"/>
    <w:next w:val="1"/>
    <w:unhideWhenUsed/>
    <w:uiPriority w:val="99"/>
    <w:rPr>
      <w:sz w:val="32"/>
    </w:rPr>
  </w:style>
  <w:style w:type="paragraph" w:styleId="5">
    <w:name w:val="Balloon Text"/>
    <w:basedOn w:val="1"/>
    <w:link w:val="11"/>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character" w:customStyle="1" w:styleId="11">
    <w:name w:val="批注框文本 字符"/>
    <w:basedOn w:val="9"/>
    <w:link w:val="5"/>
    <w:qFormat/>
    <w:uiPriority w:val="0"/>
    <w:rPr>
      <w:sz w:val="18"/>
      <w:szCs w:val="18"/>
    </w:rPr>
  </w:style>
  <w:style w:type="character" w:customStyle="1" w:styleId="12">
    <w:name w:val="页眉 字符"/>
    <w:basedOn w:val="9"/>
    <w:link w:val="7"/>
    <w:qFormat/>
    <w:uiPriority w:val="0"/>
    <w:rPr>
      <w:sz w:val="18"/>
      <w:szCs w:val="18"/>
    </w:rPr>
  </w:style>
  <w:style w:type="character" w:customStyle="1" w:styleId="13">
    <w:name w:val="页脚 字符"/>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398</Words>
  <Characters>2272</Characters>
  <Lines>18</Lines>
  <Paragraphs>5</Paragraphs>
  <TotalTime>22</TotalTime>
  <ScaleCrop>false</ScaleCrop>
  <LinksUpToDate>false</LinksUpToDate>
  <CharactersWithSpaces>2665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2021-03-01T06:40:00Z</dcterms:created>
  <dc:creator>shebei</dc:creator>
  <cp:lastModifiedBy>安然</cp:lastModifiedBy>
  <dcterms:modified xsi:type="dcterms:W3CDTF">2021-03-01T07:40:12Z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