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天津市滨海新区中医医院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202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44"/>
        </w:rPr>
        <w:t>年度</w:t>
      </w: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财务收支</w:t>
      </w:r>
      <w:r>
        <w:rPr>
          <w:rFonts w:hint="eastAsia" w:ascii="宋体" w:hAnsi="宋体" w:cs="宋体"/>
          <w:b/>
          <w:bCs/>
          <w:sz w:val="36"/>
          <w:szCs w:val="44"/>
        </w:rPr>
        <w:t>预算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预算编制的基本原则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cs="宋体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医院预算编制以“以收定支、收支平衡、统筹兼顾、保证重点”以及“坚持厉行节约、可持续发展”的原则，在保证人员经费、基本业务正常运行、法定提取项目足额计提的情况下，实现医院收支平衡，并支持医院重点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预算收支结余情况（不含财政及科教专项）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2022年预算总收入48706.5万元，预算总支出48694.72万元，预算结余11.78万元。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三、资产购置预算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2022年预计购置固定资产共计368.07万元，购置无形资产999.2万元，均使用医院自筹资金。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四、科教项目预算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2022年科教收入预算40.71万元，科教支出预算678.96万元，支出使用以前年度项目余额。</w:t>
      </w:r>
    </w:p>
    <w:p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3C0E9"/>
    <w:multiLevelType w:val="singleLevel"/>
    <w:tmpl w:val="5C53C0E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YzU1MGE2MTBlODRhMjVmYWMwYWQ1ODMyNjhiZDEifQ=="/>
  </w:docVars>
  <w:rsids>
    <w:rsidRoot w:val="0D7F3B49"/>
    <w:rsid w:val="0D7F3B49"/>
    <w:rsid w:val="121F2F16"/>
    <w:rsid w:val="1F996FAD"/>
    <w:rsid w:val="53A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307</Words>
  <Characters>366</Characters>
  <Lines>0</Lines>
  <Paragraphs>0</Paragraphs>
  <TotalTime>12</TotalTime>
  <ScaleCrop>false</ScaleCrop>
  <LinksUpToDate>false</LinksUpToDate>
  <CharactersWithSpaces>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2022-11-11T02:23:00Z</dcterms:created>
  <dc:creator>麺梨小姐™</dc:creator>
  <cp:lastModifiedBy>麺梨小姐™</cp:lastModifiedBy>
  <cp:lastPrinted>2022-11-11T02:32:00Z</cp:lastPrinted>
  <dcterms:modified xsi:type="dcterms:W3CDTF">2022-11-14T08:00:18Z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893C62A7237C419BAA1C058D5E254F57</vt:lpwstr>
  </property>
</Properties>
</file>