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b/>
          <w:snapToGrid w:val="0"/>
          <w:color w:val="auto"/>
          <w:sz w:val="32"/>
          <w:szCs w:val="32"/>
          <w:highlight w:val="none"/>
          <w:lang w:val="en-US"/>
        </w:rPr>
      </w:pPr>
      <w:bookmarkStart w:id="0" w:name="_Toc5175"/>
      <w:r>
        <w:rPr>
          <w:rFonts w:hint="eastAsia"/>
          <w:b/>
          <w:snapToGrid w:val="0"/>
          <w:color w:val="auto"/>
          <w:sz w:val="32"/>
          <w:szCs w:val="32"/>
          <w:highlight w:val="none"/>
          <w:lang w:val="en-US"/>
        </w:rPr>
        <w:t>项目需求书</w:t>
      </w:r>
      <w:bookmarkEnd w:id="0"/>
    </w:p>
    <w:p>
      <w:pPr>
        <w:spacing w:line="56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项目概况</w:t>
      </w:r>
    </w:p>
    <w:p>
      <w:pPr>
        <w:spacing w:line="5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bookmarkStart w:id="1" w:name="_GoBack"/>
      <w:r>
        <w:rPr>
          <w:rFonts w:hint="eastAsia" w:ascii="宋体" w:hAnsi="宋体" w:eastAsia="宋体" w:cs="宋体"/>
          <w:color w:val="000000"/>
          <w:sz w:val="24"/>
          <w:szCs w:val="24"/>
          <w:u w:val="single"/>
          <w:lang w:eastAsia="zh-CN"/>
        </w:rPr>
        <w:t xml:space="preserve">  天津市滨海新区中医医院胃肠镜设备</w:t>
      </w:r>
      <w:r>
        <w:rPr>
          <w:rFonts w:hint="eastAsia" w:ascii="宋体" w:hAnsi="宋体" w:eastAsia="宋体" w:cs="宋体"/>
          <w:color w:val="000000"/>
          <w:sz w:val="24"/>
          <w:szCs w:val="24"/>
          <w:u w:val="single"/>
        </w:rPr>
        <w:t xml:space="preserve">      </w:t>
      </w:r>
      <w:bookmarkEnd w:id="1"/>
      <w:r>
        <w:rPr>
          <w:rFonts w:hint="eastAsia" w:ascii="宋体" w:hAnsi="宋体" w:eastAsia="宋体" w:cs="宋体"/>
          <w:color w:val="000000"/>
          <w:sz w:val="24"/>
          <w:szCs w:val="24"/>
          <w:u w:val="single"/>
        </w:rPr>
        <w:t xml:space="preserve">                                     </w:t>
      </w:r>
    </w:p>
    <w:p>
      <w:pPr>
        <w:spacing w:line="560" w:lineRule="exact"/>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二、采购项目预（概）算是否已落实</w:t>
      </w:r>
    </w:p>
    <w:p>
      <w:pPr>
        <w:numPr>
          <w:ilvl w:val="0"/>
          <w:numId w:val="0"/>
        </w:numPr>
        <w:spacing w:line="560" w:lineRule="exact"/>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是</w:t>
      </w:r>
    </w:p>
    <w:p>
      <w:pPr>
        <w:numPr>
          <w:ilvl w:val="0"/>
          <w:numId w:val="0"/>
        </w:numPr>
        <w:spacing w:line="56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三、采购项目预（概）算</w:t>
      </w:r>
    </w:p>
    <w:p>
      <w:pPr>
        <w:spacing w:line="5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总预（概）算：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285万</w:t>
      </w:r>
      <w:r>
        <w:rPr>
          <w:rFonts w:hint="eastAsia" w:ascii="宋体" w:hAnsi="宋体" w:eastAsia="宋体" w:cs="宋体"/>
          <w:color w:val="000000"/>
          <w:sz w:val="24"/>
          <w:szCs w:val="24"/>
          <w:u w:val="single"/>
        </w:rPr>
        <w:t xml:space="preserve">    </w:t>
      </w:r>
    </w:p>
    <w:p>
      <w:pPr>
        <w:numPr>
          <w:ilvl w:val="0"/>
          <w:numId w:val="0"/>
        </w:numPr>
        <w:spacing w:line="56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四、采购标的汇总表</w:t>
      </w: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95"/>
        <w:gridCol w:w="2273"/>
        <w:gridCol w:w="1461"/>
        <w:gridCol w:w="1045"/>
        <w:gridCol w:w="104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896"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包号</w:t>
            </w:r>
          </w:p>
        </w:tc>
        <w:tc>
          <w:tcPr>
            <w:tcW w:w="895"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序号</w:t>
            </w:r>
          </w:p>
        </w:tc>
        <w:tc>
          <w:tcPr>
            <w:tcW w:w="2273"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标的名称</w:t>
            </w:r>
          </w:p>
        </w:tc>
        <w:tc>
          <w:tcPr>
            <w:tcW w:w="1461"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品目</w:t>
            </w:r>
          </w:p>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分类编码</w:t>
            </w:r>
          </w:p>
        </w:tc>
        <w:tc>
          <w:tcPr>
            <w:tcW w:w="1045"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计量</w:t>
            </w:r>
          </w:p>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单位</w:t>
            </w:r>
          </w:p>
        </w:tc>
        <w:tc>
          <w:tcPr>
            <w:tcW w:w="1045"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数量</w:t>
            </w:r>
          </w:p>
        </w:tc>
        <w:tc>
          <w:tcPr>
            <w:tcW w:w="1341" w:type="dxa"/>
            <w:noWrap w:val="0"/>
            <w:vAlign w:val="center"/>
          </w:tcPr>
          <w:p>
            <w:pPr>
              <w:spacing w:line="56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96" w:type="dxa"/>
            <w:noWrap w:val="0"/>
            <w:vAlign w:val="center"/>
          </w:tcPr>
          <w:p>
            <w:pPr>
              <w:adjustRightInd w:val="0"/>
              <w:snapToGrid w:val="0"/>
              <w:spacing w:line="560" w:lineRule="exact"/>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w:t>
            </w:r>
          </w:p>
        </w:tc>
        <w:tc>
          <w:tcPr>
            <w:tcW w:w="895" w:type="dxa"/>
            <w:noWrap w:val="0"/>
            <w:vAlign w:val="center"/>
          </w:tcPr>
          <w:p>
            <w:pPr>
              <w:adjustRightInd w:val="0"/>
              <w:snapToGrid w:val="0"/>
              <w:spacing w:line="560" w:lineRule="exact"/>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w:t>
            </w:r>
          </w:p>
        </w:tc>
        <w:tc>
          <w:tcPr>
            <w:tcW w:w="2273" w:type="dxa"/>
            <w:noWrap w:val="0"/>
            <w:vAlign w:val="center"/>
          </w:tcPr>
          <w:p>
            <w:pPr>
              <w:adjustRightInd w:val="0"/>
              <w:snapToGrid w:val="0"/>
              <w:spacing w:line="560" w:lineRule="exact"/>
              <w:jc w:val="center"/>
              <w:rPr>
                <w:rFonts w:hint="eastAsia" w:ascii="宋体" w:hAnsi="宋体" w:eastAsia="宋体" w:cs="宋体"/>
                <w:b/>
                <w:bCs w:val="0"/>
                <w:i/>
                <w:color w:val="000000"/>
                <w:kern w:val="2"/>
                <w:sz w:val="24"/>
                <w:szCs w:val="24"/>
                <w:highlight w:val="none"/>
                <w:u w:val="single"/>
                <w:lang w:val="en-US" w:eastAsia="zh-CN" w:bidi="ar-SA"/>
              </w:rPr>
            </w:pPr>
            <w:r>
              <w:rPr>
                <w:rFonts w:hint="eastAsia" w:ascii="宋体" w:hAnsi="宋体" w:eastAsia="宋体" w:cs="宋体"/>
                <w:b/>
                <w:bCs w:val="0"/>
                <w:sz w:val="24"/>
                <w:szCs w:val="24"/>
                <w:highlight w:val="none"/>
                <w:lang w:val="en-US" w:eastAsia="zh-CN"/>
              </w:rPr>
              <w:t>胃肠镜</w:t>
            </w:r>
          </w:p>
        </w:tc>
        <w:tc>
          <w:tcPr>
            <w:tcW w:w="1461" w:type="dxa"/>
            <w:noWrap w:val="0"/>
            <w:vAlign w:val="center"/>
          </w:tcPr>
          <w:p>
            <w:pPr>
              <w:widowControl/>
              <w:adjustRightInd/>
              <w:snapToGrid/>
              <w:spacing w:line="240" w:lineRule="auto"/>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A032007</w:t>
            </w:r>
          </w:p>
        </w:tc>
        <w:tc>
          <w:tcPr>
            <w:tcW w:w="1045" w:type="dxa"/>
            <w:noWrap w:val="0"/>
            <w:vAlign w:val="center"/>
          </w:tcPr>
          <w:p>
            <w:pPr>
              <w:adjustRightInd w:val="0"/>
              <w:snapToGrid w:val="0"/>
              <w:spacing w:line="560" w:lineRule="exact"/>
              <w:jc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val="en-US" w:eastAsia="zh-CN"/>
              </w:rPr>
              <w:t>套</w:t>
            </w:r>
          </w:p>
        </w:tc>
        <w:tc>
          <w:tcPr>
            <w:tcW w:w="1045" w:type="dxa"/>
            <w:noWrap w:val="0"/>
            <w:vAlign w:val="center"/>
          </w:tcPr>
          <w:p>
            <w:pPr>
              <w:adjustRightInd w:val="0"/>
              <w:snapToGrid w:val="0"/>
              <w:spacing w:line="560" w:lineRule="exact"/>
              <w:jc w:val="center"/>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sz w:val="24"/>
                <w:szCs w:val="24"/>
                <w:highlight w:val="none"/>
                <w:lang w:val="en-US" w:eastAsia="zh-CN"/>
              </w:rPr>
              <w:t>1</w:t>
            </w:r>
          </w:p>
        </w:tc>
        <w:tc>
          <w:tcPr>
            <w:tcW w:w="1341" w:type="dxa"/>
            <w:noWrap w:val="0"/>
            <w:vAlign w:val="center"/>
          </w:tcPr>
          <w:p>
            <w:pPr>
              <w:adjustRightInd w:val="0"/>
              <w:snapToGrid w:val="0"/>
              <w:spacing w:line="560" w:lineRule="exact"/>
              <w:jc w:val="both"/>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285万</w:t>
            </w:r>
          </w:p>
        </w:tc>
      </w:tr>
    </w:tbl>
    <w:p>
      <w:pPr>
        <w:pStyle w:val="6"/>
        <w:rPr>
          <w:rFonts w:hint="eastAsia" w:ascii="宋体" w:hAnsi="宋体" w:eastAsia="宋体" w:cs="宋体"/>
          <w:sz w:val="24"/>
          <w:szCs w:val="24"/>
        </w:rPr>
      </w:pPr>
    </w:p>
    <w:p>
      <w:pPr>
        <w:spacing w:line="560" w:lineRule="exact"/>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五、技术商务要求</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（1）技术要求：</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胃肠镜系统配置要求：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一、电子图像处理器 1台</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1、主机和光源全数字化处理和全数字化输出的内窥镜电子影像系统</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2、特殊光模式：≥3 种特殊光模式</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3、染色：需具有光学染色和电子染色两种技术</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4、图像具有放大功能</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5、图像冻结模式：实时冻结</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6、双画面模式：可将白光图像和电子染色图像同时显示,双画面对比观察</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7、画中画功能：冻结图像与运动图像同时出现在画面上</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8、图像存储功能：≥3.5G内存</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9、兼容性：可以连接环扫/扇扫超声内镜、上消化道镜、十二指肠镜、下消化道镜、双气囊小肠镜、支气管镜、经鼻胃镜、高清鼻咽喉镜等多种电子镜</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10、待机热插拔功能：可以在不关闭图像处理器电源的情况下安装和脱卸内镜，保护主机电源、延长主机寿命、提高操作效率</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11、无线插拔连接：无电器接点外露，避免腐蚀、生锈，降低维修率</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二、医用内窥镜用冷光源 1台</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1、光源：需采用多光源整合，≥3个独立可控的高亮度LED光源</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2、光源控制：自动能量控制</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3、光源寿命：≥10000 小时</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4、亮度调节：根据视频信号输出自动调节亮度，也可手动调整</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5、设定值记忆功能：关闭系统电源后设定值可保存</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三、高清监视器 2台</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1、高清医疗级显示终端</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2、分辨率：≥1920×1080</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3、尺寸： ≥26英寸</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4、最大亮度：≥300cd/m2</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5、视频信号输入接口类型：DVI（两组）、3G-SDI（两组）</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6、视频信号环通输出接口类型：DVI、3G-SDI</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7、双画面显示：支持双画面多信号同屏显示；支持数字信号（DVI, SDI等）与模拟信号（S-Video, VGA等）画中画显示</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四、双臂台车 1台</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1、可转动液晶显示终端，方便操作者不同角度观察图像</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2、可升降支架，可同时悬挂两根镜子</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3、可拉伸键盘托盘，方便医生不同角度操作</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4、带锁定装置，保障设备稳定</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五、电子上消化道内窥镜（高清电子胃镜）1条</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1、成像方式：百万像素CMOS图像传感器、兼容HDTV全高清输出</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2、观察方向：0°（直视）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3、视野角度：≥140°</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4、观察距离：2-100mm，最小观察距离2mm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5、钳道内径：≥2.8mm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6、弯曲角度：上≥210°、下≥90°、左≥100°、右≥100°</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7、有效长度：≥1100mm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8、全长：≥1400mm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9、具备前射水功能</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10、检查功能：能够实现白光观察与三种以上特殊光观察，利于早癌病变观察和诊断</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六、电子下消化道内窥镜（高清电子肠镜）3条</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1、图像传感器：百万像素CMOS 图像传感器、兼容HDTV全高清输出；</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2、能够实现白光、联动成像技术、蓝光成像技术三种特殊光观察，利于早期癌检查；</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3、视野角度：0°(直视)；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4、视野范围：≥170°，观察范围更广；</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5、观察范围：2-100mm；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6、有效长度：≥1300mm；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7、全长：≥1600mm；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8、弯曲角度：上下：≥180°、左右：≥160°；</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8、钳道直径：Ф≥3.8mm；</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10、辅助送水功能：具有前射水功能，以方便治疗时冲洗创面；</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11、插入性能：镜身硬度连续变化设计，软硬可调，顺应弯曲，精准传导。</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七、高清图文工作站</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1、运行在WindowsXP/Windows7/Windows10操作系统上。</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2、工作站同步显示检查设备上的视频。</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3、在进行图像处理前，可建立原始图像的拷贝。</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4、可对图像进行批量导入、导出操作。</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（2）商务要求</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一、供应商资质</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参加本项目</w:t>
      </w:r>
      <w:r>
        <w:rPr>
          <w:rFonts w:hint="eastAsia" w:ascii="宋体" w:hAnsi="宋体" w:eastAsia="宋体" w:cs="宋体"/>
          <w:b w:val="0"/>
          <w:bCs w:val="0"/>
          <w:color w:val="000000"/>
          <w:sz w:val="24"/>
          <w:szCs w:val="24"/>
          <w:lang w:val="en-US" w:eastAsia="zh-CN"/>
        </w:rPr>
        <w:t>投标</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应在</w:t>
      </w:r>
      <w:r>
        <w:rPr>
          <w:rFonts w:hint="eastAsia" w:ascii="宋体" w:hAnsi="宋体" w:eastAsia="宋体" w:cs="宋体"/>
          <w:b w:val="0"/>
          <w:bCs w:val="0"/>
          <w:color w:val="000000"/>
          <w:sz w:val="24"/>
          <w:szCs w:val="24"/>
          <w:lang w:val="en-US" w:eastAsia="zh-CN"/>
        </w:rPr>
        <w:t>投标</w:t>
      </w:r>
      <w:r>
        <w:rPr>
          <w:rFonts w:hint="eastAsia" w:ascii="宋体" w:hAnsi="宋体" w:eastAsia="宋体" w:cs="宋体"/>
          <w:b w:val="0"/>
          <w:bCs w:val="0"/>
          <w:color w:val="000000"/>
          <w:sz w:val="24"/>
          <w:szCs w:val="24"/>
        </w:rPr>
        <w:t>文件中提供以下证明材料：</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（一）供应商须具备《中华人民共和国政府采购法》第二十二条第一款规定的条件，提供以下材料：</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1、营业执照副本或事业单位法人证书或民办非企业单位登记证书或社会团体法人登记证书或基金会法人登记证书扫描件或复印件并加盖公章。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2、财务状况报告等相关材料：提供202</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年度经第三方会计师事务所审计的企业财务报告扫描件（应包括完整的审计报告和财务报表）或提交</w:t>
      </w:r>
      <w:r>
        <w:rPr>
          <w:rFonts w:hint="eastAsia" w:ascii="宋体" w:hAnsi="宋体" w:eastAsia="宋体" w:cs="宋体"/>
          <w:b w:val="0"/>
          <w:bCs w:val="0"/>
          <w:color w:val="000000"/>
          <w:sz w:val="24"/>
          <w:szCs w:val="24"/>
          <w:lang w:eastAsia="zh-CN"/>
        </w:rPr>
        <w:t>投标文件</w:t>
      </w:r>
      <w:r>
        <w:rPr>
          <w:rFonts w:hint="eastAsia" w:ascii="宋体" w:hAnsi="宋体" w:eastAsia="宋体" w:cs="宋体"/>
          <w:b w:val="0"/>
          <w:bCs w:val="0"/>
          <w:color w:val="000000"/>
          <w:sz w:val="24"/>
          <w:szCs w:val="24"/>
        </w:rPr>
        <w:t>截止日期前近3个月内银行出具的资信证明复印件并加盖公章。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3、202</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年至少1个月的依法缴纳税收和社会保险费的相关证明材料扫描件或复印件并加盖公章。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4、提交</w:t>
      </w:r>
      <w:r>
        <w:rPr>
          <w:rFonts w:hint="eastAsia" w:ascii="宋体" w:hAnsi="宋体" w:eastAsia="宋体" w:cs="宋体"/>
          <w:b w:val="0"/>
          <w:bCs w:val="0"/>
          <w:color w:val="000000"/>
          <w:sz w:val="24"/>
          <w:szCs w:val="24"/>
          <w:lang w:eastAsia="zh-CN"/>
        </w:rPr>
        <w:t>投标文件</w:t>
      </w:r>
      <w:r>
        <w:rPr>
          <w:rFonts w:hint="eastAsia" w:ascii="宋体" w:hAnsi="宋体" w:eastAsia="宋体" w:cs="宋体"/>
          <w:b w:val="0"/>
          <w:bCs w:val="0"/>
          <w:color w:val="000000"/>
          <w:sz w:val="24"/>
          <w:szCs w:val="24"/>
        </w:rPr>
        <w:t>截止日前3年在经营活动中没有重大违法记录的书面声明（提交</w:t>
      </w:r>
      <w:r>
        <w:rPr>
          <w:rFonts w:hint="eastAsia" w:ascii="宋体" w:hAnsi="宋体" w:eastAsia="宋体" w:cs="宋体"/>
          <w:b w:val="0"/>
          <w:bCs w:val="0"/>
          <w:color w:val="000000"/>
          <w:sz w:val="24"/>
          <w:szCs w:val="24"/>
          <w:lang w:eastAsia="zh-CN"/>
        </w:rPr>
        <w:t>投标文件</w:t>
      </w:r>
      <w:r>
        <w:rPr>
          <w:rFonts w:hint="eastAsia" w:ascii="宋体" w:hAnsi="宋体" w:eastAsia="宋体" w:cs="宋体"/>
          <w:b w:val="0"/>
          <w:bCs w:val="0"/>
          <w:color w:val="000000"/>
          <w:sz w:val="24"/>
          <w:szCs w:val="24"/>
        </w:rPr>
        <w:t>截止日前成立不足3年的供应商可提供自成立以来无重大违法记录的书面声明）并加盖公章。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GB" w:eastAsia="zh-CN"/>
        </w:rPr>
      </w:pPr>
      <w:r>
        <w:rPr>
          <w:rFonts w:hint="eastAsia" w:ascii="宋体" w:hAnsi="宋体" w:eastAsia="宋体" w:cs="宋体"/>
          <w:b w:val="0"/>
          <w:bCs w:val="0"/>
          <w:color w:val="000000"/>
          <w:sz w:val="24"/>
          <w:szCs w:val="24"/>
          <w:lang w:val="en-US"/>
        </w:rPr>
        <w:t>（</w:t>
      </w: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lang w:val="en-US"/>
        </w:rPr>
        <w:t>）</w:t>
      </w:r>
      <w:r>
        <w:rPr>
          <w:rFonts w:hint="eastAsia" w:ascii="宋体" w:hAnsi="宋体" w:eastAsia="宋体" w:cs="宋体"/>
          <w:b w:val="0"/>
          <w:bCs w:val="0"/>
          <w:color w:val="000000"/>
          <w:sz w:val="24"/>
          <w:szCs w:val="24"/>
          <w:lang w:val="en-GB" w:eastAsia="zh-CN"/>
        </w:rPr>
        <w:t>按照《财政部关于在政府采购活动中查询及使用信用记录有关问题的通知》（财库〔2016〕125号）的要求，根据</w:t>
      </w:r>
      <w:r>
        <w:rPr>
          <w:rFonts w:hint="eastAsia" w:ascii="宋体" w:hAnsi="宋体" w:eastAsia="宋体" w:cs="宋体"/>
          <w:b w:val="0"/>
          <w:bCs w:val="0"/>
          <w:color w:val="000000"/>
          <w:sz w:val="24"/>
          <w:szCs w:val="24"/>
          <w:lang w:val="en-US" w:eastAsia="zh-CN"/>
        </w:rPr>
        <w:t>投标</w:t>
      </w:r>
      <w:r>
        <w:rPr>
          <w:rFonts w:hint="eastAsia" w:ascii="宋体" w:hAnsi="宋体" w:eastAsia="宋体" w:cs="宋体"/>
          <w:b w:val="0"/>
          <w:bCs w:val="0"/>
          <w:color w:val="000000"/>
          <w:sz w:val="24"/>
          <w:szCs w:val="24"/>
          <w:lang w:val="en-GB" w:eastAsia="zh-CN"/>
        </w:rPr>
        <w:t>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信用信息的查询渠道及截止时点：自</w:t>
      </w:r>
      <w:r>
        <w:rPr>
          <w:rFonts w:hint="eastAsia" w:ascii="宋体" w:hAnsi="宋体" w:eastAsia="宋体" w:cs="宋体"/>
          <w:b w:val="0"/>
          <w:bCs w:val="0"/>
          <w:color w:val="000000"/>
          <w:sz w:val="24"/>
          <w:szCs w:val="24"/>
          <w:lang w:eastAsia="zh-CN"/>
        </w:rPr>
        <w:t>投标</w:t>
      </w:r>
      <w:r>
        <w:rPr>
          <w:rFonts w:hint="eastAsia" w:ascii="宋体" w:hAnsi="宋体" w:eastAsia="宋体" w:cs="宋体"/>
          <w:b w:val="0"/>
          <w:bCs w:val="0"/>
          <w:color w:val="000000"/>
          <w:sz w:val="24"/>
          <w:szCs w:val="24"/>
        </w:rPr>
        <w:t>截止时间起1小时内在信用中国网（http://www.creditchina.gov.cn）和中国政府采购网（http://www.ccgp.gov.cn）上同时查询。</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GB" w:eastAsia="zh-CN"/>
        </w:rPr>
      </w:pPr>
      <w:r>
        <w:rPr>
          <w:rFonts w:hint="eastAsia" w:ascii="宋体" w:hAnsi="宋体" w:eastAsia="宋体" w:cs="宋体"/>
          <w:b w:val="0"/>
          <w:bCs w:val="0"/>
          <w:color w:val="000000"/>
          <w:sz w:val="24"/>
          <w:szCs w:val="24"/>
          <w:lang w:val="en-GB" w:eastAsia="zh-CN"/>
        </w:rPr>
        <w:t>信用信息查询记录和证据留存的具体方式：查询记录通过截屏的方式并打印留存，截屏内容包括网站地址、名称和查询信息的显示结果及查询时间等。</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三</w:t>
      </w:r>
      <w:r>
        <w:rPr>
          <w:rFonts w:hint="eastAsia" w:ascii="宋体" w:hAnsi="宋体" w:eastAsia="宋体" w:cs="宋体"/>
          <w:b w:val="0"/>
          <w:bCs w:val="0"/>
          <w:color w:val="000000"/>
          <w:sz w:val="24"/>
          <w:szCs w:val="24"/>
        </w:rPr>
        <w:t>）供应商须由法定代表人或其授权的委托代理人参加。供应商若为法定代表人参加，须提供法定代表人资格证明书及身份证明原件或加盖公章的复印件（如身份证、护照、驾驶证等）；供应商若为被授权的委托代理人参加，须提供法定代表人资格证明书、法人代表授权书（须由法定代表人签字或盖章）和被授权人身份证明原件或加盖公章的复印件（如身份证、护照、驾驶证等）。</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四</w:t>
      </w:r>
      <w:r>
        <w:rPr>
          <w:rFonts w:hint="eastAsia" w:ascii="宋体" w:hAnsi="宋体" w:eastAsia="宋体" w:cs="宋体"/>
          <w:b w:val="0"/>
          <w:bCs w:val="0"/>
          <w:color w:val="000000"/>
          <w:sz w:val="24"/>
          <w:szCs w:val="24"/>
        </w:rPr>
        <w:t>）本项目不接受联合体参加，供应商须提供《非联合体</w:t>
      </w:r>
      <w:r>
        <w:rPr>
          <w:rFonts w:hint="eastAsia" w:ascii="宋体" w:hAnsi="宋体" w:eastAsia="宋体" w:cs="宋体"/>
          <w:b w:val="0"/>
          <w:bCs w:val="0"/>
          <w:color w:val="000000"/>
          <w:sz w:val="24"/>
          <w:szCs w:val="24"/>
          <w:lang w:eastAsia="zh-CN"/>
        </w:rPr>
        <w:t>投标</w:t>
      </w:r>
      <w:r>
        <w:rPr>
          <w:rFonts w:hint="eastAsia" w:ascii="宋体" w:hAnsi="宋体" w:eastAsia="宋体" w:cs="宋体"/>
          <w:b w:val="0"/>
          <w:bCs w:val="0"/>
          <w:color w:val="000000"/>
          <w:sz w:val="24"/>
          <w:szCs w:val="24"/>
        </w:rPr>
        <w:t>声明函》并加盖公章。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五</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落实政府采购政策需满足的资格要求：</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⑴ </w:t>
      </w:r>
      <w:r>
        <w:rPr>
          <w:rFonts w:hint="eastAsia" w:ascii="宋体" w:hAnsi="宋体" w:eastAsia="宋体" w:cs="宋体"/>
          <w:b w:val="0"/>
          <w:bCs w:val="0"/>
          <w:color w:val="000000"/>
          <w:sz w:val="24"/>
          <w:szCs w:val="24"/>
        </w:rPr>
        <w:t>促进中小企业发展政策。</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根据财政部、工业和信息化部发布的关于《政府采购促进中小企业发展管理办法》（财库﹝2020﹞46 号）和财政部关于《进一步加大政府采购支持中小企业力度》的通知（财库〔2022〕19号）规定，本项目专门面向中小微企业采购。</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⑵ </w:t>
      </w:r>
      <w:r>
        <w:rPr>
          <w:rFonts w:hint="eastAsia" w:ascii="宋体" w:hAnsi="宋体" w:eastAsia="宋体" w:cs="宋体"/>
          <w:b w:val="0"/>
          <w:bCs w:val="0"/>
          <w:color w:val="000000"/>
          <w:sz w:val="24"/>
          <w:szCs w:val="24"/>
        </w:rPr>
        <w:t>支持监狱企业发展政策。</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支持监狱企业发展政策明细：根据财政部发布的《关于政府采购支持监狱企业发展有关问题的通知》（财库【2014】68号）规定，监狱企业视同小微企业。</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⑶</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促进残疾人就业政策。</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促进残疾人就业政策明细：根据财政部、民政部、中国残疾人联合会发布的《关于促进残疾人就业政府采购政策的通知》（财库【2017】141号）规定，残疾人福利性单位视同小微企业。</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GB" w:eastAsia="zh-CN"/>
        </w:rPr>
      </w:pPr>
      <w:r>
        <w:rPr>
          <w:rFonts w:hint="eastAsia" w:ascii="宋体" w:hAnsi="宋体" w:eastAsia="宋体" w:cs="宋体"/>
          <w:b w:val="0"/>
          <w:bCs w:val="0"/>
          <w:color w:val="000000"/>
          <w:sz w:val="24"/>
          <w:szCs w:val="24"/>
          <w:lang w:val="en-GB" w:eastAsia="zh-CN"/>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⑷</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⑸</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（六）</w:t>
      </w:r>
      <w:r>
        <w:rPr>
          <w:rFonts w:hint="eastAsia" w:ascii="宋体" w:hAnsi="宋体" w:eastAsia="宋体" w:cs="宋体"/>
          <w:b w:val="0"/>
          <w:bCs w:val="0"/>
          <w:color w:val="000000"/>
          <w:sz w:val="24"/>
          <w:szCs w:val="24"/>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（七）</w:t>
      </w:r>
      <w:r>
        <w:rPr>
          <w:rFonts w:hint="eastAsia" w:ascii="宋体" w:hAnsi="宋体" w:eastAsia="宋体" w:cs="宋体"/>
          <w:b w:val="0"/>
          <w:bCs w:val="0"/>
          <w:color w:val="000000"/>
          <w:sz w:val="24"/>
          <w:szCs w:val="24"/>
        </w:rPr>
        <w:t>不同</w:t>
      </w:r>
      <w:r>
        <w:rPr>
          <w:rFonts w:hint="eastAsia" w:ascii="宋体" w:hAnsi="宋体" w:eastAsia="宋体" w:cs="宋体"/>
          <w:b w:val="0"/>
          <w:bCs w:val="0"/>
          <w:color w:val="000000"/>
          <w:sz w:val="24"/>
          <w:szCs w:val="24"/>
          <w:lang w:val="en-US" w:eastAsia="zh-CN"/>
        </w:rPr>
        <w:t>供应商</w:t>
      </w:r>
      <w:r>
        <w:rPr>
          <w:rFonts w:hint="eastAsia" w:ascii="宋体" w:hAnsi="宋体" w:eastAsia="宋体" w:cs="宋体"/>
          <w:b w:val="0"/>
          <w:bCs w:val="0"/>
          <w:color w:val="000000"/>
          <w:sz w:val="24"/>
          <w:szCs w:val="24"/>
        </w:rPr>
        <w:t>的授权代表的社保由同一单位缴纳的，其投标无效（填写授权代表授权书加盖公章）；</w:t>
      </w:r>
    </w:p>
    <w:p>
      <w:pPr>
        <w:pStyle w:val="9"/>
        <w:keepNext w:val="0"/>
        <w:keepLines w:val="0"/>
        <w:pageBreakBefore w:val="0"/>
        <w:kinsoku/>
        <w:wordWrap/>
        <w:overflowPunct/>
        <w:topLinePunct w:val="0"/>
        <w:autoSpaceDE/>
        <w:autoSpaceDN/>
        <w:bidi w:val="0"/>
        <w:snapToGrid/>
        <w:spacing w:before="0" w:line="360" w:lineRule="auto"/>
        <w:ind w:left="0" w:leftChars="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八</w:t>
      </w:r>
      <w:r>
        <w:rPr>
          <w:rFonts w:hint="eastAsia" w:ascii="宋体" w:hAnsi="宋体" w:eastAsia="宋体" w:cs="宋体"/>
          <w:b w:val="0"/>
          <w:bCs w:val="0"/>
          <w:color w:val="000000"/>
          <w:sz w:val="24"/>
          <w:szCs w:val="24"/>
        </w:rPr>
        <w:t>）本项目专门面向中小企业采购，投标人须提供《中小企业声明函》并加盖公章；</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二、交货要求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1.交货时间：合同签订之日起十个工作日内安装调试完毕（具体情况以合同为准）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2.交货地点：天津市滨海新区中医医院</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投标报价中。</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采购人有权委托第三方检验机构对中标人提供的设备质量和功能进行检验和验收，检验中若发现虚假应标的行为将予以无效成交处理并保留对中标人追究相关责任的权利，检验和验收费用由中标人负责，特殊情况以合同为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4.由于设备的质量和安全问题造成的损失和人员伤亡事故由中标人负责赔偿，相关的损失及责任均由中标人自行承担。</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5.在任何时候，中标人均不能免除因设备本身的缺陷所应付的责任。中标人有义务对所提供的货物实行终身维护和对设备进行定期的检测与维护。</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6.未经采购人同意，中标人不得转让合同、转包或分包。</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8.供应商须整包进行投标，不得拆包分项投标。</w:t>
      </w:r>
      <w:r>
        <w:rPr>
          <w:rFonts w:hint="eastAsia" w:ascii="宋体" w:hAnsi="宋体" w:eastAsia="宋体" w:cs="宋体"/>
          <w:b/>
          <w:bCs/>
          <w:color w:val="000000"/>
          <w:sz w:val="24"/>
          <w:szCs w:val="24"/>
        </w:rPr>
        <w:t xml:space="preserve"> </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宋体" w:hAnsi="宋体" w:eastAsia="宋体" w:cs="宋体"/>
          <w:b w:val="0"/>
          <w:bCs w:val="0"/>
          <w:color w:val="000000"/>
          <w:sz w:val="24"/>
          <w:szCs w:val="24"/>
          <w:lang w:val="en-US" w:eastAsia="zh-CN"/>
        </w:rPr>
        <w:t>并加盖供应商公章</w:t>
      </w:r>
      <w:r>
        <w:rPr>
          <w:rFonts w:hint="eastAsia" w:ascii="宋体" w:hAnsi="宋体" w:eastAsia="宋体" w:cs="宋体"/>
          <w:b w:val="0"/>
          <w:bCs w:val="0"/>
          <w:color w:val="000000"/>
          <w:sz w:val="24"/>
          <w:szCs w:val="24"/>
        </w:rPr>
        <w:t>。</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10.根据《医疗器械监督管理条例》的规定，供应商所响应产品如属于第一类医疗器械，须提供医疗器械备案证明文件复印件并加盖公章，供应商所响应产品如属于第二类或第三类医疗器械，须具备食品药品监督管理局颁发的在有效期内的中华人民共和国医疗器械注册证，提供证书复印件并加盖公章。（本条款为★条款，不符合将导致响应文件被拒绝。）</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四、付款方式</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货到现场安装调试完毕，验收合格后15个工作日内支付合同总价款的90%，自验收之日起1年后15个工作日内支付合同总额的10%（特殊情况以合同为准）。</w:t>
      </w:r>
    </w:p>
    <w:p>
      <w:pPr>
        <w:pStyle w:val="9"/>
        <w:keepNext w:val="0"/>
        <w:keepLines w:val="0"/>
        <w:pageBreakBefore w:val="0"/>
        <w:kinsoku/>
        <w:wordWrap/>
        <w:overflowPunct/>
        <w:topLinePunct w:val="0"/>
        <w:autoSpaceDE/>
        <w:autoSpaceDN/>
        <w:bidi w:val="0"/>
        <w:snapToGrid/>
        <w:spacing w:before="0" w:line="360" w:lineRule="auto"/>
        <w:ind w:left="0" w:leftChars="0" w:firstLine="0" w:firstLineChars="0"/>
        <w:outlineLvl w:val="0"/>
        <w:rPr>
          <w:rFonts w:hint="eastAsia" w:ascii="宋体" w:hAnsi="宋体" w:eastAsia="宋体" w:cs="宋体"/>
          <w:b w:val="0"/>
          <w:bCs w:val="0"/>
          <w:color w:val="000000"/>
          <w:sz w:val="24"/>
          <w:szCs w:val="24"/>
          <w:lang w:val="en-US"/>
        </w:rPr>
      </w:pPr>
      <w:r>
        <w:rPr>
          <w:rFonts w:hint="eastAsia" w:ascii="宋体" w:hAnsi="宋体" w:eastAsia="宋体" w:cs="宋体"/>
          <w:b/>
          <w:bCs/>
          <w:color w:val="000000"/>
          <w:sz w:val="24"/>
          <w:szCs w:val="24"/>
        </w:rPr>
        <w:t xml:space="preserve">五、是否有配套耗材  </w:t>
      </w:r>
      <w:r>
        <w:rPr>
          <w:rFonts w:hint="eastAsia" w:ascii="宋体" w:hAnsi="宋体" w:eastAsia="宋体" w:cs="宋体"/>
          <w:b w:val="0"/>
          <w:bCs w:val="0"/>
          <w:color w:val="000000"/>
          <w:sz w:val="24"/>
          <w:szCs w:val="24"/>
        </w:rPr>
        <w:t>是 □  否  ☑</w:t>
      </w:r>
    </w:p>
    <w:p/>
    <w:sectPr>
      <w:headerReference r:id="rId5" w:type="default"/>
      <w:footerReference r:id="rId6" w:type="default"/>
      <w:pgSz w:w="11906" w:h="16838"/>
      <w:pgMar w:top="1440" w:right="1797" w:bottom="1440" w:left="1797"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F-簡秀宋體">
    <w:altName w:val="宋体"/>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103</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pPr>
    <w:r>
      <w:rPr>
        <w:rFonts w:hint="eastAsia"/>
      </w:rPr>
      <w:t xml:space="preserve">招标文件                       </w:t>
    </w:r>
    <w:r>
      <w:rPr>
        <w:rFonts w:hint="eastAsia"/>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2BE45D5F"/>
    <w:rsid w:val="2BE4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napToGrid w:val="0"/>
      <w:spacing w:before="120" w:beforeLines="50" w:after="120" w:afterLines="50" w:line="240" w:lineRule="auto"/>
      <w:ind w:left="406"/>
      <w:jc w:val="both"/>
    </w:pPr>
    <w:rPr>
      <w:rFonts w:ascii="宋体" w:hAnsi="宋体" w:cs="Arial"/>
    </w:rPr>
  </w:style>
  <w:style w:type="paragraph" w:styleId="3">
    <w:name w:val="Body Text Indent"/>
    <w:basedOn w:val="1"/>
    <w:next w:val="2"/>
    <w:uiPriority w:val="0"/>
    <w:pPr>
      <w:ind w:left="480"/>
    </w:pPr>
    <w:rPr>
      <w:rFonts w:eastAsia="CF-簡秀宋體"/>
      <w:spacing w:val="20"/>
    </w:rPr>
  </w:style>
  <w:style w:type="paragraph" w:styleId="4">
    <w:name w:val="footer"/>
    <w:basedOn w:val="1"/>
    <w:uiPriority w:val="0"/>
    <w:pPr>
      <w:tabs>
        <w:tab w:val="center" w:pos="4153"/>
        <w:tab w:val="right" w:pos="8306"/>
      </w:tabs>
      <w:snapToGrid w:val="0"/>
    </w:pPr>
    <w:rPr>
      <w:sz w:val="20"/>
    </w:rPr>
  </w:style>
  <w:style w:type="paragraph" w:styleId="5">
    <w:name w:val="header"/>
    <w:basedOn w:val="1"/>
    <w:uiPriority w:val="0"/>
    <w:pPr>
      <w:tabs>
        <w:tab w:val="center" w:pos="4153"/>
        <w:tab w:val="right" w:pos="8306"/>
      </w:tabs>
      <w:snapToGrid w:val="0"/>
    </w:pPr>
    <w:rPr>
      <w:sz w:val="20"/>
    </w:rPr>
  </w:style>
  <w:style w:type="paragraph" w:styleId="6">
    <w:name w:val="Body Text First Indent 2"/>
    <w:basedOn w:val="3"/>
    <w:next w:val="1"/>
    <w:unhideWhenUsed/>
    <w:qFormat/>
    <w:uiPriority w:val="99"/>
    <w:pPr>
      <w:tabs>
        <w:tab w:val="left" w:pos="480"/>
      </w:tabs>
      <w:ind w:firstLine="420" w:firstLineChars="200"/>
    </w:pPr>
    <w:rPr>
      <w:rFonts w:ascii="Calibri" w:hAnsi="Calibri"/>
      <w:sz w:val="21"/>
      <w:szCs w:val="22"/>
      <w:lang w:val="en-US" w:eastAsia="zh-CN" w:bidi="ar-SA"/>
    </w:rPr>
  </w:style>
  <w:style w:type="paragraph" w:customStyle="1" w:styleId="9">
    <w:name w:val="*正文"/>
    <w:qFormat/>
    <w:uiPriority w:val="0"/>
    <w:pPr>
      <w:tabs>
        <w:tab w:val="left" w:pos="1247"/>
      </w:tabs>
      <w:spacing w:before="120" w:line="360" w:lineRule="auto"/>
      <w:ind w:firstLine="200" w:firstLineChars="200"/>
      <w:jc w:val="both"/>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2023-11-14T01:23:00Z</dcterms:created>
  <dc:creator>WPS_1547029868</dc:creator>
  <cp:lastModifiedBy>WPS_1547029868</cp:lastModifiedBy>
  <dcterms:modified xsi:type="dcterms:W3CDTF">2023-11-14T01:24:36Z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E8DE53C2150F4866A4B823DD9E98DCC0_11</vt:lpwstr>
  </property>
</Properties>
</file>