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187" w:lineRule="auto"/>
        <w:jc w:val="both"/>
        <w:outlineLvl w:val="0"/>
        <w:rPr>
          <w:rFonts w:hint="eastAsia" w:ascii="方正仿宋_GB2312" w:hAnsi="方正仿宋_GB2312" w:eastAsia="方正仿宋_GB2312" w:cs="方正仿宋_GB2312"/>
          <w:b w:val="0"/>
          <w:bCs w:val="0"/>
          <w:spacing w:val="27"/>
          <w:sz w:val="28"/>
          <w:szCs w:val="28"/>
          <w:lang w:eastAsia="zh-CN"/>
        </w:rPr>
      </w:pPr>
      <w:r>
        <w:rPr>
          <w:rFonts w:hint="eastAsia" w:ascii="方正仿宋_GB2312" w:hAnsi="方正仿宋_GB2312" w:eastAsia="方正仿宋_GB2312" w:cs="方正仿宋_GB2312"/>
          <w:b w:val="0"/>
          <w:bCs w:val="0"/>
          <w:spacing w:val="27"/>
          <w:sz w:val="28"/>
          <w:szCs w:val="28"/>
          <w:lang w:eastAsia="zh-CN"/>
        </w:rPr>
        <w:t>附件</w:t>
      </w:r>
      <w:r>
        <w:rPr>
          <w:rFonts w:hint="eastAsia" w:ascii="方正仿宋_GB2312" w:hAnsi="方正仿宋_GB2312" w:eastAsia="方正仿宋_GB2312" w:cs="方正仿宋_GB2312"/>
          <w:b w:val="0"/>
          <w:bCs w:val="0"/>
          <w:spacing w:val="27"/>
          <w:sz w:val="28"/>
          <w:szCs w:val="28"/>
          <w:lang w:val="en-US" w:eastAsia="zh-CN"/>
        </w:rPr>
        <w:t>1</w:t>
      </w:r>
      <w:r>
        <w:rPr>
          <w:rFonts w:hint="eastAsia" w:ascii="方正仿宋_GB2312" w:hAnsi="方正仿宋_GB2312" w:eastAsia="方正仿宋_GB2312" w:cs="方正仿宋_GB2312"/>
          <w:b w:val="0"/>
          <w:bCs w:val="0"/>
          <w:spacing w:val="27"/>
          <w:sz w:val="28"/>
          <w:szCs w:val="28"/>
          <w:lang w:eastAsia="zh-CN"/>
        </w:rPr>
        <w:t>：</w:t>
      </w:r>
    </w:p>
    <w:p>
      <w:pPr>
        <w:widowControl w:val="0"/>
        <w:kinsoku/>
        <w:autoSpaceDE/>
        <w:autoSpaceDN/>
        <w:adjustRightInd/>
        <w:snapToGrid/>
        <w:spacing w:line="480" w:lineRule="exact"/>
        <w:jc w:val="center"/>
        <w:textAlignment w:val="auto"/>
        <w:rPr>
          <w:rFonts w:hint="eastAsia" w:ascii="方正小标宋简体" w:hAnsi="方正小标宋简体" w:eastAsia="方正小标宋简体" w:cs="方正小标宋简体"/>
          <w:b/>
          <w:bCs/>
          <w:snapToGrid/>
          <w:kern w:val="2"/>
          <w:sz w:val="36"/>
          <w:szCs w:val="36"/>
          <w:lang w:val="en-US" w:eastAsia="zh-CN" w:bidi="ar-SA"/>
        </w:rPr>
      </w:pPr>
      <w:r>
        <w:rPr>
          <w:rFonts w:hint="eastAsia" w:ascii="方正小标宋简体" w:hAnsi="方正小标宋简体" w:eastAsia="方正小标宋简体" w:cs="方正小标宋简体"/>
          <w:b/>
          <w:bCs/>
          <w:snapToGrid/>
          <w:kern w:val="2"/>
          <w:sz w:val="36"/>
          <w:szCs w:val="36"/>
          <w:lang w:val="en-US" w:eastAsia="zh-CN" w:bidi="ar-SA"/>
        </w:rPr>
        <w:t>天津市滨海新区中医医院杭州道院区路面改造</w:t>
      </w:r>
    </w:p>
    <w:p>
      <w:pPr>
        <w:widowControl w:val="0"/>
        <w:kinsoku/>
        <w:autoSpaceDE/>
        <w:autoSpaceDN/>
        <w:adjustRightInd/>
        <w:snapToGrid/>
        <w:spacing w:line="480" w:lineRule="exact"/>
        <w:jc w:val="center"/>
        <w:textAlignment w:val="auto"/>
        <w:rPr>
          <w:rFonts w:hint="eastAsia" w:ascii="方正小标宋简体" w:hAnsi="方正小标宋简体" w:eastAsia="方正小标宋简体" w:cs="方正小标宋简体"/>
          <w:b/>
          <w:bCs/>
          <w:snapToGrid/>
          <w:kern w:val="2"/>
          <w:sz w:val="36"/>
          <w:szCs w:val="36"/>
          <w:lang w:val="en-US" w:eastAsia="zh-CN" w:bidi="ar-SA"/>
        </w:rPr>
      </w:pPr>
      <w:r>
        <w:rPr>
          <w:rFonts w:hint="eastAsia" w:ascii="方正小标宋简体" w:hAnsi="方正小标宋简体" w:eastAsia="方正小标宋简体" w:cs="方正小标宋简体"/>
          <w:b/>
          <w:bCs/>
          <w:snapToGrid/>
          <w:kern w:val="2"/>
          <w:sz w:val="36"/>
          <w:szCs w:val="36"/>
          <w:lang w:val="en-US" w:eastAsia="zh-CN" w:bidi="ar-SA"/>
        </w:rPr>
        <w:t>项目需求书</w:t>
      </w:r>
    </w:p>
    <w:p>
      <w:pPr>
        <w:widowControl w:val="0"/>
        <w:numPr>
          <w:ilvl w:val="0"/>
          <w:numId w:val="1"/>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项目名称：</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天津市滨海新区中医医院杭州道院区路面改造项目</w:t>
      </w:r>
      <w:bookmarkStart w:id="3" w:name="_GoBack"/>
      <w:bookmarkEnd w:id="3"/>
      <w:r>
        <w:rPr>
          <w:rFonts w:hint="eastAsia" w:ascii="方正仿宋_GB2312" w:hAnsi="方正仿宋_GB2312" w:eastAsia="方正仿宋_GB2312" w:cs="方正仿宋_GB2312"/>
          <w:snapToGrid/>
          <w:color w:val="auto"/>
          <w:kern w:val="2"/>
          <w:sz w:val="28"/>
          <w:szCs w:val="28"/>
          <w:lang w:val="en-US" w:eastAsia="zh-CN" w:bidi="ar-SA"/>
        </w:rPr>
        <w:t>。</w:t>
      </w:r>
    </w:p>
    <w:p>
      <w:pPr>
        <w:widowControl w:val="0"/>
        <w:numPr>
          <w:ilvl w:val="0"/>
          <w:numId w:val="1"/>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预计工期：50天</w:t>
      </w:r>
    </w:p>
    <w:p>
      <w:pPr>
        <w:widowControl w:val="0"/>
        <w:numPr>
          <w:ilvl w:val="0"/>
          <w:numId w:val="1"/>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预算价格：人民币295万元（大写：贰佰玖伍万元整）。</w:t>
      </w:r>
    </w:p>
    <w:p>
      <w:pPr>
        <w:widowControl w:val="0"/>
        <w:kinsoku/>
        <w:autoSpaceDE/>
        <w:autoSpaceDN/>
        <w:adjustRightInd/>
        <w:snapToGrid/>
        <w:spacing w:line="240" w:lineRule="auto"/>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四、</w:t>
      </w:r>
      <w:r>
        <w:rPr>
          <w:rFonts w:hint="eastAsia" w:ascii="方正仿宋_GB2312" w:hAnsi="方正仿宋_GB2312" w:eastAsia="方正仿宋_GB2312" w:cs="方正仿宋_GB2312"/>
          <w:snapToGrid/>
          <w:color w:val="auto"/>
          <w:kern w:val="2"/>
          <w:sz w:val="28"/>
          <w:szCs w:val="28"/>
          <w:highlight w:val="none"/>
          <w:shd w:val="clear"/>
          <w:lang w:val="en-US" w:eastAsia="zh-CN" w:bidi="ar-SA"/>
        </w:rPr>
        <w:t>供应商资格要求：</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1、具有独立承担民事责任能力的法人或其他组织。须提供证明供应商具有独立承担民事责任能力的相关证件或公证书复印件加盖公章。</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2、具有良好的商业信誉和健全的财务会计制度。须提供2022年度经第三方会计师事务所审计的企业财务报告或提交响应文件截止日期前近3个月内银行出具的资信证明复印件并加盖公章。</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3、2023年至少1个月的依法缴纳税收和社会保险费的相关证明材料扫描件或复印件并加盖公章。</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4、投标人须具备资质：有效期内的建筑工程施工总承包三级及以上。</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5、投标人须具有在有效期内的安全生产许可证。</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en-US" w:eastAsia="zh-CN" w:bidi="ar-SA"/>
        </w:rPr>
      </w:pPr>
      <w:r>
        <w:rPr>
          <w:rFonts w:hint="eastAsia" w:ascii="方正仿宋_GB2312" w:hAnsi="方正仿宋_GB2312" w:eastAsia="方正仿宋_GB2312" w:cs="方正仿宋_GB2312"/>
          <w:snapToGrid/>
          <w:color w:val="auto"/>
          <w:kern w:val="2"/>
          <w:sz w:val="28"/>
          <w:szCs w:val="28"/>
          <w:lang w:val="en-US" w:eastAsia="zh-CN" w:bidi="ar-SA"/>
        </w:rPr>
        <w:t>项目部人员配备：供应商须配备正项目经理1名，应具备建设行政主管部门颁发的建筑工程专业二级及以上注册建造师证书，须提供注册建造师证书复印件并加盖公章。</w:t>
      </w:r>
    </w:p>
    <w:p>
      <w:pPr>
        <w:widowControl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lang w:val="zh-TW" w:eastAsia="zh-CN" w:bidi="ar-SA"/>
        </w:rPr>
      </w:pPr>
      <w:r>
        <w:rPr>
          <w:rFonts w:hint="eastAsia" w:ascii="方正仿宋_GB2312" w:hAnsi="方正仿宋_GB2312" w:eastAsia="方正仿宋_GB2312" w:cs="方正仿宋_GB2312"/>
          <w:snapToGrid/>
          <w:color w:val="auto"/>
          <w:kern w:val="2"/>
          <w:sz w:val="28"/>
          <w:szCs w:val="28"/>
          <w:lang w:val="en-US" w:eastAsia="zh-CN" w:bidi="ar-SA"/>
        </w:rPr>
        <w:t>6、本项目不接受联合体投标，中标后不得违法分包或转包。</w:t>
      </w:r>
    </w:p>
    <w:p>
      <w:pPr>
        <w:widowControl w:val="0"/>
        <w:kinsoku/>
        <w:autoSpaceDE/>
        <w:autoSpaceDN/>
        <w:adjustRightInd/>
        <w:snapToGrid/>
        <w:spacing w:line="240" w:lineRule="auto"/>
        <w:jc w:val="both"/>
        <w:textAlignment w:val="auto"/>
        <w:rPr>
          <w:rFonts w:hint="eastAsia" w:ascii="方正仿宋_GB2312" w:hAnsi="方正仿宋_GB2312" w:eastAsia="方正仿宋_GB2312" w:cs="方正仿宋_GB2312"/>
          <w:snapToGrid/>
          <w:color w:val="auto"/>
          <w:kern w:val="2"/>
          <w:sz w:val="28"/>
          <w:szCs w:val="28"/>
          <w:lang w:val="zh-TW" w:eastAsia="zh-CN" w:bidi="ar-SA"/>
        </w:rPr>
      </w:pPr>
      <w:r>
        <w:rPr>
          <w:rFonts w:hint="eastAsia" w:ascii="方正仿宋_GB2312" w:hAnsi="方正仿宋_GB2312" w:eastAsia="方正仿宋_GB2312" w:cs="方正仿宋_GB2312"/>
          <w:snapToGrid/>
          <w:color w:val="auto"/>
          <w:kern w:val="2"/>
          <w:sz w:val="28"/>
          <w:szCs w:val="28"/>
          <w:lang w:val="zh-TW" w:eastAsia="zh-CN" w:bidi="ar-SA"/>
        </w:rPr>
        <w:t>五、付款方式</w:t>
      </w:r>
    </w:p>
    <w:p>
      <w:pPr>
        <w:keepNext w:val="0"/>
        <w:keepLines w:val="0"/>
        <w:widowControl/>
        <w:suppressLineNumbers w:val="0"/>
        <w:kinsoku/>
        <w:autoSpaceDE/>
        <w:autoSpaceDN/>
        <w:adjustRightInd/>
        <w:snapToGrid/>
        <w:spacing w:line="240" w:lineRule="auto"/>
        <w:ind w:firstLine="560" w:firstLineChars="200"/>
        <w:jc w:val="both"/>
        <w:textAlignment w:val="auto"/>
        <w:rPr>
          <w:rFonts w:hint="eastAsia" w:ascii="方正仿宋_GB2312" w:hAnsi="方正仿宋_GB2312" w:eastAsia="方正仿宋_GB2312" w:cs="方正仿宋_GB2312"/>
          <w:snapToGrid/>
          <w:color w:val="auto"/>
          <w:kern w:val="2"/>
          <w:sz w:val="28"/>
          <w:szCs w:val="28"/>
          <w:highlight w:val="none"/>
          <w:lang w:val="zh-TW" w:eastAsia="zh-CN" w:bidi="ar-SA"/>
        </w:rPr>
      </w:pPr>
      <w:r>
        <w:rPr>
          <w:rFonts w:hint="eastAsia" w:ascii="方正仿宋_GB2312" w:hAnsi="方正仿宋_GB2312" w:eastAsia="方正仿宋_GB2312" w:cs="方正仿宋_GB2312"/>
          <w:snapToGrid/>
          <w:color w:val="auto"/>
          <w:kern w:val="2"/>
          <w:sz w:val="28"/>
          <w:szCs w:val="28"/>
          <w:highlight w:val="none"/>
          <w:lang w:val="zh-TW" w:eastAsia="zh-CN" w:bidi="ar-SA"/>
        </w:rPr>
        <w:t>工程竣工并经甲方验收合格后，甲方凭票支付乙方审计值的97%工程款(最终结算以甲方聘请的第三方工程造价咨询公司审计的金额为准)，剩余3%的尾款作为质保金，质保期</w:t>
      </w:r>
      <w:r>
        <w:rPr>
          <w:rFonts w:hint="eastAsia" w:ascii="方正仿宋_GB2312" w:hAnsi="方正仿宋_GB2312" w:eastAsia="方正仿宋_GB2312" w:cs="方正仿宋_GB2312"/>
          <w:snapToGrid/>
          <w:color w:val="auto"/>
          <w:kern w:val="2"/>
          <w:sz w:val="28"/>
          <w:szCs w:val="28"/>
          <w:highlight w:val="none"/>
          <w:lang w:val="en-US" w:eastAsia="zh-CN" w:bidi="ar-SA"/>
        </w:rPr>
        <w:t>1年，</w:t>
      </w:r>
      <w:r>
        <w:rPr>
          <w:rFonts w:hint="eastAsia" w:ascii="方正仿宋_GB2312" w:hAnsi="方正仿宋_GB2312" w:eastAsia="方正仿宋_GB2312" w:cs="方正仿宋_GB2312"/>
          <w:snapToGrid/>
          <w:color w:val="auto"/>
          <w:kern w:val="2"/>
          <w:sz w:val="28"/>
          <w:szCs w:val="28"/>
          <w:highlight w:val="none"/>
          <w:lang w:val="zh-TW" w:eastAsia="zh-CN" w:bidi="ar-SA"/>
        </w:rPr>
        <w:t>待工程保修期届满(若无质量问题)，甲方凭票付清。</w:t>
      </w:r>
    </w:p>
    <w:p>
      <w:pPr>
        <w:widowControl w:val="0"/>
        <w:kinsoku/>
        <w:autoSpaceDE/>
        <w:autoSpaceDN/>
        <w:adjustRightInd/>
        <w:snapToGrid/>
        <w:spacing w:line="240" w:lineRule="auto"/>
        <w:jc w:val="both"/>
        <w:textAlignment w:val="auto"/>
        <w:rPr>
          <w:rFonts w:hint="eastAsia" w:ascii="方正仿宋_GB2312" w:hAnsi="方正仿宋_GB2312" w:eastAsia="方正仿宋_GB2312" w:cs="方正仿宋_GB2312"/>
          <w:snapToGrid/>
          <w:color w:val="auto"/>
          <w:kern w:val="2"/>
          <w:sz w:val="28"/>
          <w:szCs w:val="28"/>
          <w:lang w:val="zh-TW" w:eastAsia="zh-CN" w:bidi="ar-SA"/>
        </w:rPr>
      </w:pPr>
      <w:r>
        <w:rPr>
          <w:rFonts w:hint="eastAsia" w:ascii="方正仿宋_GB2312" w:hAnsi="方正仿宋_GB2312" w:eastAsia="方正仿宋_GB2312" w:cs="方正仿宋_GB2312"/>
          <w:snapToGrid/>
          <w:color w:val="auto"/>
          <w:kern w:val="2"/>
          <w:sz w:val="28"/>
          <w:szCs w:val="28"/>
          <w:lang w:val="zh-TW" w:eastAsia="zh-CN" w:bidi="ar-SA"/>
        </w:rPr>
        <w:t>六、项目详情：</w:t>
      </w:r>
    </w:p>
    <w:p>
      <w:pPr>
        <w:widowControl w:val="0"/>
        <w:kinsoku/>
        <w:autoSpaceDE/>
        <w:autoSpaceDN/>
        <w:adjustRightInd/>
        <w:snapToGrid/>
        <w:spacing w:line="600" w:lineRule="exact"/>
        <w:jc w:val="center"/>
        <w:textAlignment w:val="auto"/>
        <w:rPr>
          <w:rFonts w:hint="eastAsia" w:ascii="方正仿宋_GB2312" w:hAnsi="方正仿宋_GB2312" w:eastAsia="方正仿宋_GB2312" w:cs="方正仿宋_GB2312"/>
          <w:b w:val="0"/>
          <w:bCs/>
          <w:snapToGrid/>
          <w:color w:val="auto"/>
          <w:kern w:val="2"/>
          <w:sz w:val="28"/>
          <w:szCs w:val="28"/>
          <w:highlight w:val="none"/>
          <w:lang w:val="en-US" w:eastAsia="zh-CN" w:bidi="ar-SA"/>
        </w:rPr>
      </w:pPr>
      <w:bookmarkStart w:id="0" w:name="_Toc14809"/>
      <w:bookmarkStart w:id="1" w:name="_Toc21858"/>
      <w:bookmarkStart w:id="2" w:name="_Toc29215"/>
      <w:r>
        <w:rPr>
          <w:rFonts w:hint="eastAsia" w:ascii="方正仿宋_GB2312" w:hAnsi="方正仿宋_GB2312" w:eastAsia="方正仿宋_GB2312" w:cs="方正仿宋_GB2312"/>
          <w:b w:val="0"/>
          <w:bCs/>
          <w:snapToGrid/>
          <w:color w:val="auto"/>
          <w:kern w:val="2"/>
          <w:sz w:val="28"/>
          <w:szCs w:val="28"/>
          <w:highlight w:val="none"/>
          <w:lang w:val="en-US" w:eastAsia="zh-CN" w:bidi="ar-SA"/>
        </w:rPr>
        <w:t>第一节  项目概况</w:t>
      </w:r>
    </w:p>
    <w:p>
      <w:pPr>
        <w:widowControl w:val="0"/>
        <w:kinsoku/>
        <w:autoSpaceDE/>
        <w:autoSpaceDN/>
        <w:adjustRightInd/>
        <w:snapToGrid/>
        <w:spacing w:line="360" w:lineRule="auto"/>
        <w:jc w:val="both"/>
        <w:textAlignment w:val="auto"/>
        <w:rPr>
          <w:rFonts w:hint="eastAsia" w:ascii="方正仿宋_GB2312" w:hAnsi="方正仿宋_GB2312" w:eastAsia="方正仿宋_GB2312" w:cs="方正仿宋_GB2312"/>
          <w:b w:val="0"/>
          <w:bCs/>
          <w:snapToGrid/>
          <w:color w:val="auto"/>
          <w:kern w:val="2"/>
          <w:sz w:val="28"/>
          <w:szCs w:val="28"/>
          <w:highlight w:val="none"/>
          <w:lang w:val="en-US" w:eastAsia="zh-CN" w:bidi="ar-SA"/>
        </w:rPr>
      </w:pPr>
      <w:r>
        <w:rPr>
          <w:rFonts w:hint="eastAsia" w:ascii="方正仿宋_GB2312" w:hAnsi="方正仿宋_GB2312" w:eastAsia="方正仿宋_GB2312" w:cs="方正仿宋_GB2312"/>
          <w:b w:val="0"/>
          <w:bCs/>
          <w:snapToGrid/>
          <w:color w:val="auto"/>
          <w:kern w:val="2"/>
          <w:sz w:val="28"/>
          <w:szCs w:val="28"/>
          <w:highlight w:val="none"/>
          <w:lang w:val="en-US" w:eastAsia="zh-CN" w:bidi="ar-SA"/>
        </w:rPr>
        <w:t>1.1项目背景：</w:t>
      </w:r>
    </w:p>
    <w:bookmarkEnd w:id="0"/>
    <w:bookmarkEnd w:id="1"/>
    <w:bookmarkEnd w:id="2"/>
    <w:p>
      <w:pPr>
        <w:numPr>
          <w:ilvl w:val="0"/>
          <w:numId w:val="0"/>
        </w:numPr>
        <w:kinsoku w:val="0"/>
        <w:autoSpaceDE w:val="0"/>
        <w:autoSpaceDN w:val="0"/>
        <w:adjustRightInd w:val="0"/>
        <w:snapToGrid w:val="0"/>
        <w:spacing w:line="360" w:lineRule="auto"/>
        <w:ind w:firstLine="560" w:firstLineChars="200"/>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天津市滨海新区中医医院杭州道院区位于天津市滨海新区塘沽杭州道90号，始建于1996年，占地面积33128.68平方米，总建筑面积22655.48平方米，是一所集医疗、科研、教学、预防、康复为一体的三级中医医院。是天津中医药大学教学医院、研究生培养基地，是滨海新区塘沽地区中医药适宜技术推广基地。</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滨海中医医院杭州道院区由于建成年代较早，功能有限，室外路面年久未修，院区路面破损严重，就医患者进出通行感观差，车辆运输通行不畅等实质困难急需解决。</w:t>
      </w:r>
    </w:p>
    <w:p>
      <w:pPr>
        <w:numPr>
          <w:ilvl w:val="0"/>
          <w:numId w:val="0"/>
        </w:numPr>
        <w:kinsoku w:val="0"/>
        <w:autoSpaceDE w:val="0"/>
        <w:autoSpaceDN w:val="0"/>
        <w:adjustRightInd w:val="0"/>
        <w:snapToGrid w:val="0"/>
        <w:spacing w:line="360" w:lineRule="auto"/>
        <w:ind w:firstLine="560" w:firstLineChars="200"/>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本次提升改造项目完工后，可以有效提升院区内整体环境面貌，提升居民社区综合配套、推动文明城区建设的必要措施，是提升居民就医条件，构建和谐社区的需要。</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1.2项目概况：</w:t>
      </w:r>
    </w:p>
    <w:p>
      <w:pPr>
        <w:numPr>
          <w:ilvl w:val="0"/>
          <w:numId w:val="0"/>
        </w:numPr>
        <w:kinsoku w:val="0"/>
        <w:autoSpaceDE w:val="0"/>
        <w:autoSpaceDN w:val="0"/>
        <w:adjustRightInd w:val="0"/>
        <w:snapToGrid w:val="0"/>
        <w:spacing w:line="360" w:lineRule="auto"/>
        <w:ind w:firstLine="560" w:firstLineChars="200"/>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道路铺装：对现状坑洼破损进行翻新，破损面砖道路约10900㎡，并与周边道路合理衔接；现状土质路面重新铺设混凝土路面，铺装面积约700㎡，同时对花池侧石、路缘石进行更换。</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第二节  设计条件</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2.1设计依据：</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本工程采用的规范和标准：</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《房屋建筑制图统一标准》              GB/T 50001-2017</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《建筑设计防火规范》         GB/T 50016-2014（2018年版）</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《民用建筑设计统一标准》              GB 50352-2019</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《建筑工程设计文件编制深度规定》2016</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《室外排水设计规范》                  GB 50014-2021</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《建筑给水排水及采暖工程施工质量验收规范》  GB50242-2002</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《建筑工程施工质量验收统一标准》      GB  50300-2001</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《天津市城市道路工程施工及验收标准》 DB/T29-74-2018</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《天津市建筑标准设计图集》           DBJT-29-18-2013</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中华人民共和国现行的有关法律条例和相关专业规范、规定，若有最新版本按照最新版本执行。</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2.2设计原则</w:t>
      </w:r>
    </w:p>
    <w:p>
      <w:pPr>
        <w:numPr>
          <w:ilvl w:val="0"/>
          <w:numId w:val="0"/>
        </w:numPr>
        <w:kinsoku w:val="0"/>
        <w:autoSpaceDE w:val="0"/>
        <w:autoSpaceDN w:val="0"/>
        <w:adjustRightInd w:val="0"/>
        <w:snapToGrid w:val="0"/>
        <w:spacing w:line="360" w:lineRule="auto"/>
        <w:ind w:firstLine="560" w:firstLineChars="200"/>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1、道路铺装：对现状坑洼破损进行翻新，破损面砖道路约10900㎡，并与周边道路合理衔接；现状土质路面重新铺设混凝土路面，铺装面积约700㎡，同时对花池侧石、路缘石进行更换。</w:t>
      </w:r>
    </w:p>
    <w:p>
      <w:pPr>
        <w:numPr>
          <w:ilvl w:val="0"/>
          <w:numId w:val="0"/>
        </w:numPr>
        <w:kinsoku w:val="0"/>
        <w:autoSpaceDE w:val="0"/>
        <w:autoSpaceDN w:val="0"/>
        <w:adjustRightInd w:val="0"/>
        <w:snapToGrid w:val="0"/>
        <w:spacing w:line="360" w:lineRule="auto"/>
        <w:ind w:firstLine="560" w:firstLineChars="200"/>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2、由于本工程为改造工程无法取得原始图纸，图中各种尺寸均为估算，施工时应先对现状建筑进行实地测量后再进行施工，施工中如遇设计与现状不符，均以现场实际情况为准。</w:t>
      </w:r>
    </w:p>
    <w:p>
      <w:pPr>
        <w:numPr>
          <w:ilvl w:val="0"/>
          <w:numId w:val="0"/>
        </w:numPr>
        <w:kinsoku w:val="0"/>
        <w:autoSpaceDE w:val="0"/>
        <w:autoSpaceDN w:val="0"/>
        <w:adjustRightInd w:val="0"/>
        <w:snapToGrid w:val="0"/>
        <w:spacing w:line="360" w:lineRule="auto"/>
        <w:jc w:val="both"/>
        <w:textAlignment w:val="baseline"/>
        <w:rPr>
          <w:rFonts w:hint="eastAsia" w:ascii="方正仿宋_GB2312" w:hAnsi="方正仿宋_GB2312" w:eastAsia="方正仿宋_GB2312" w:cs="方正仿宋_GB2312"/>
          <w:snapToGrid/>
          <w:color w:val="auto"/>
          <w:kern w:val="2"/>
          <w:sz w:val="28"/>
          <w:szCs w:val="28"/>
          <w:highlight w:val="none"/>
          <w:lang w:val="en-US" w:eastAsia="zh-CN" w:bidi="ar-SA"/>
        </w:rPr>
      </w:pPr>
      <w:r>
        <w:rPr>
          <w:rFonts w:hint="eastAsia" w:ascii="方正仿宋_GB2312" w:hAnsi="方正仿宋_GB2312" w:eastAsia="方正仿宋_GB2312" w:cs="方正仿宋_GB2312"/>
          <w:snapToGrid/>
          <w:color w:val="auto"/>
          <w:kern w:val="2"/>
          <w:sz w:val="28"/>
          <w:szCs w:val="28"/>
          <w:highlight w:val="none"/>
          <w:lang w:val="en-US" w:eastAsia="zh-CN" w:bidi="ar-SA"/>
        </w:rPr>
        <w:t>本次改造不涉及建筑楼主体消防设计、无障碍设计及抗震设计。各种设施与道路、建筑间距均为现状既有情况，本次改造不涉及场地间距调整。</w:t>
      </w:r>
    </w:p>
    <w:p>
      <w:pPr>
        <w:numPr>
          <w:ilvl w:val="0"/>
          <w:numId w:val="2"/>
        </w:numPr>
        <w:jc w:val="cente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预算清单</w:t>
      </w:r>
    </w:p>
    <w:tbl>
      <w:tblPr>
        <w:tblStyle w:val="2"/>
        <w:tblpPr w:leftFromText="180" w:rightFromText="180" w:vertAnchor="text" w:horzAnchor="page" w:tblpX="1064" w:tblpY="822"/>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2263"/>
        <w:gridCol w:w="942"/>
        <w:gridCol w:w="1094"/>
        <w:gridCol w:w="1960"/>
        <w:gridCol w:w="3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序号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工程名称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数量</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总价（万元）</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lang w:val="en-US" w:eastAsia="zh-CN"/>
              </w:rPr>
            </w:pPr>
            <w:r>
              <w:rPr>
                <w:rFonts w:hint="eastAsia" w:ascii="方正仿宋_GB2312" w:hAnsi="方正仿宋_GB2312" w:eastAsia="方正仿宋_GB2312" w:cs="方正仿宋_GB2312"/>
                <w:i w:val="0"/>
                <w:iCs w:val="0"/>
                <w:color w:val="000000"/>
                <w:sz w:val="28"/>
                <w:szCs w:val="28"/>
                <w:u w:val="none"/>
                <w:lang w:val="en-US" w:eastAsia="zh-CN"/>
              </w:rPr>
              <w:t>1</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snapToGrid w:val="0"/>
                <w:color w:val="000000"/>
                <w:kern w:val="0"/>
                <w:sz w:val="28"/>
                <w:szCs w:val="28"/>
                <w:u w:val="none"/>
                <w:lang w:val="en-US" w:eastAsia="zh-CN" w:bidi="ar"/>
              </w:rPr>
              <w:t>杭州道院区路面改造项目</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snapToGrid w:val="0"/>
                <w:color w:val="000000"/>
                <w:kern w:val="0"/>
                <w:sz w:val="28"/>
                <w:szCs w:val="28"/>
                <w:u w:val="none"/>
                <w:lang w:val="en-US" w:eastAsia="zh-CN" w:bidi="ar"/>
              </w:rPr>
              <w:t>m2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snapToGrid w:val="0"/>
                <w:color w:val="000000"/>
                <w:kern w:val="0"/>
                <w:sz w:val="28"/>
                <w:szCs w:val="28"/>
                <w:u w:val="none"/>
                <w:lang w:val="en-US" w:eastAsia="zh-CN" w:bidi="ar"/>
              </w:rPr>
              <w:t>10900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snapToGrid w:val="0"/>
                <w:color w:val="000000"/>
                <w:kern w:val="0"/>
                <w:sz w:val="28"/>
                <w:szCs w:val="28"/>
                <w:u w:val="none"/>
                <w:lang w:val="en-US" w:eastAsia="zh-CN" w:bidi="ar"/>
              </w:rPr>
              <w:t>295</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楷体" w:hAnsi="楷体" w:eastAsia="楷体" w:cs="Times New Roman"/>
                <w:i w:val="0"/>
                <w:iCs w:val="0"/>
                <w:snapToGrid/>
                <w:color w:val="000000"/>
                <w:kern w:val="2"/>
                <w:sz w:val="24"/>
                <w:szCs w:val="24"/>
                <w:u w:val="none"/>
                <w:lang w:val="en-US" w:eastAsia="zh-CN" w:bidi="ar"/>
              </w:rPr>
              <w:t>含更换约</w:t>
            </w:r>
            <w:r>
              <w:rPr>
                <w:rFonts w:hint="eastAsia" w:ascii="楷体" w:hAnsi="楷体" w:eastAsia="楷体" w:cs="Times New Roman"/>
                <w:snapToGrid/>
                <w:color w:val="000000"/>
                <w:sz w:val="24"/>
                <w:szCs w:val="24"/>
                <w:lang w:val="en-US" w:eastAsia="zh-CN" w:bidi="ar"/>
              </w:rPr>
              <w:t>90个铸铁井盖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51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合计总价</w:t>
            </w:r>
          </w:p>
        </w:tc>
        <w:tc>
          <w:tcPr>
            <w:tcW w:w="5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28"/>
                <w:szCs w:val="28"/>
                <w:u w:val="none"/>
                <w:lang w:val="en-US"/>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2950000元</w:t>
            </w:r>
          </w:p>
        </w:tc>
      </w:tr>
    </w:tbl>
    <w:p>
      <w:pPr>
        <w:numPr>
          <w:ilvl w:val="0"/>
          <w:numId w:val="0"/>
        </w:numPr>
        <w:jc w:val="both"/>
        <w:rPr>
          <w:rFonts w:hint="default" w:ascii="方正仿宋_GB2312" w:hAnsi="方正仿宋_GB2312" w:eastAsia="方正仿宋_GB2312" w:cs="方正仿宋_GB2312"/>
          <w:b/>
          <w:bCs/>
          <w:sz w:val="28"/>
          <w:szCs w:val="28"/>
          <w:lang w:val="en-US" w:eastAsia="zh-CN"/>
        </w:rPr>
      </w:pPr>
    </w:p>
    <w:p>
      <w:pPr>
        <w:numPr>
          <w:ilvl w:val="0"/>
          <w:numId w:val="0"/>
        </w:numPr>
        <w:jc w:val="both"/>
        <w:rPr>
          <w:rFonts w:hint="default" w:ascii="方正仿宋_GB2312" w:hAnsi="方正仿宋_GB2312" w:eastAsia="方正仿宋_GB2312" w:cs="方正仿宋_GB2312"/>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68669DB9-5186-4BC9-9370-22BD35653C30}"/>
  </w:font>
  <w:font w:name="方正仿宋_GB2312">
    <w:panose1 w:val="02000000000000000000"/>
    <w:charset w:val="86"/>
    <w:family w:val="auto"/>
    <w:pitch w:val="default"/>
    <w:sig w:usb0="A00002BF" w:usb1="184F6CFA" w:usb2="00000012" w:usb3="00000000" w:csb0="00040001" w:csb1="00000000"/>
    <w:embedRegular r:id="rId2" w:fontKey="{7E808D64-9BA7-454B-8B21-550B213E3014}"/>
  </w:font>
  <w:font w:name="楷体">
    <w:panose1 w:val="02010609060101010101"/>
    <w:charset w:val="86"/>
    <w:family w:val="modern"/>
    <w:pitch w:val="default"/>
    <w:sig w:usb0="800002BF" w:usb1="38CF7CFA" w:usb2="00000016" w:usb3="00000000" w:csb0="00040001" w:csb1="00000000"/>
    <w:embedRegular r:id="rId3" w:fontKey="{D608F95E-F028-4FBC-84F9-35FB0A43304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D91A"/>
    <w:multiLevelType w:val="singleLevel"/>
    <w:tmpl w:val="824DD91A"/>
    <w:lvl w:ilvl="0" w:tentative="0">
      <w:start w:val="1"/>
      <w:numFmt w:val="chineseCounting"/>
      <w:suff w:val="nothing"/>
      <w:lvlText w:val="%1、"/>
      <w:lvlJc w:val="left"/>
      <w:rPr>
        <w:rFonts w:hint="eastAsia"/>
      </w:rPr>
    </w:lvl>
  </w:abstractNum>
  <w:abstractNum w:abstractNumId="1">
    <w:nsid w:val="C26C06BF"/>
    <w:multiLevelType w:val="singleLevel"/>
    <w:tmpl w:val="C26C06B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MzEzYzBjNTcxNGY1YzQyZDY0YTcwY2MwNjI5OWEifQ=="/>
  </w:docVars>
  <w:rsids>
    <w:rsidRoot w:val="39A0135D"/>
    <w:rsid w:val="18AF6EB7"/>
    <w:rsid w:val="222F2220"/>
    <w:rsid w:val="30B71DA4"/>
    <w:rsid w:val="32197F55"/>
    <w:rsid w:val="37577E3D"/>
    <w:rsid w:val="38EF5674"/>
    <w:rsid w:val="39A0135D"/>
    <w:rsid w:val="3CB75A2A"/>
    <w:rsid w:val="4F657B3A"/>
    <w:rsid w:val="542377FB"/>
    <w:rsid w:val="5E5444A7"/>
    <w:rsid w:val="5E723A9E"/>
    <w:rsid w:val="6B79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Calibri" w:hAnsi="Calibri" w:cs="Calibri"/>
      <w:color w:val="000000"/>
      <w:sz w:val="21"/>
      <w:szCs w:val="21"/>
      <w:u w:val="none"/>
    </w:rPr>
  </w:style>
  <w:style w:type="character" w:customStyle="1" w:styleId="5">
    <w:name w:val="font2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1608</Words>
  <Characters>1782</Characters>
  <Lines>0</Lines>
  <Paragraphs>0</Paragraphs>
  <TotalTime>28</TotalTime>
  <ScaleCrop>false</ScaleCrop>
  <LinksUpToDate>false</LinksUpToDate>
  <CharactersWithSpaces>1905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2023-03-16T00:08:00Z</dcterms:created>
  <dc:creator>Shine.Y</dc:creator>
  <cp:lastModifiedBy>Shine.Y</cp:lastModifiedBy>
  <cp:lastPrinted>2023-08-10T08:34:00Z</cp:lastPrinted>
  <dcterms:modified xsi:type="dcterms:W3CDTF">2023-11-08T05:59:12Z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188E6835983C49D096CAF97537FAECEC_13</vt:lpwstr>
  </property>
</Properties>
</file>