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color w:val="auto"/>
          <w:sz w:val="32"/>
          <w:szCs w:val="32"/>
          <w:highlight w:val="none"/>
          <w:lang w:eastAsia="zh-CN"/>
        </w:rPr>
      </w:pPr>
      <w:r>
        <w:rPr>
          <w:rFonts w:hint="eastAsia"/>
          <w:color w:val="auto"/>
          <w:sz w:val="32"/>
          <w:szCs w:val="32"/>
          <w:highlight w:val="none"/>
          <w:lang w:eastAsia="zh-CN"/>
        </w:rPr>
        <w:t>电梯维保</w:t>
      </w:r>
      <w:bookmarkStart w:id="0" w:name="_GoBack"/>
      <w:bookmarkEnd w:id="0"/>
      <w:r>
        <w:rPr>
          <w:rFonts w:hint="eastAsia"/>
          <w:color w:val="auto"/>
          <w:sz w:val="32"/>
          <w:szCs w:val="32"/>
          <w:highlight w:val="none"/>
          <w:lang w:eastAsia="zh-CN"/>
        </w:rPr>
        <w:t>项目</w:t>
      </w:r>
      <w:r>
        <w:rPr>
          <w:rFonts w:hint="eastAsia"/>
          <w:color w:val="auto"/>
          <w:sz w:val="32"/>
          <w:szCs w:val="32"/>
          <w:highlight w:val="none"/>
          <w:lang w:val="en-US" w:eastAsia="zh-CN"/>
        </w:rPr>
        <w:t>需求书</w:t>
      </w:r>
    </w:p>
    <w:p>
      <w:pPr>
        <w:pStyle w:val="2"/>
        <w:snapToGrid w:val="0"/>
        <w:spacing w:line="360" w:lineRule="auto"/>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（一）项目概况</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项目范围：天津市滨海新区中医医院北塘院区门急诊、住院部电梯共计</w:t>
      </w:r>
      <w:r>
        <w:rPr>
          <w:rFonts w:ascii="宋体" w:hAnsi="宋体" w:cs="宋体"/>
          <w:kern w:val="0"/>
          <w:sz w:val="24"/>
          <w:szCs w:val="24"/>
          <w:highlight w:val="none"/>
        </w:rPr>
        <w:t>44台(具体参数型号见附件)</w:t>
      </w:r>
      <w:r>
        <w:rPr>
          <w:rFonts w:hint="eastAsia" w:ascii="宋体" w:hAnsi="宋体" w:cs="宋体"/>
          <w:kern w:val="0"/>
          <w:sz w:val="24"/>
          <w:szCs w:val="24"/>
          <w:highlight w:val="none"/>
        </w:rPr>
        <w:t>。</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项目预算：</w:t>
      </w:r>
      <w:r>
        <w:rPr>
          <w:rFonts w:ascii="宋体" w:hAnsi="宋体" w:cs="宋体"/>
          <w:kern w:val="0"/>
          <w:sz w:val="24"/>
          <w:szCs w:val="24"/>
          <w:highlight w:val="none"/>
        </w:rPr>
        <w:t>46.62</w:t>
      </w:r>
      <w:r>
        <w:rPr>
          <w:rFonts w:hint="eastAsia" w:ascii="宋体" w:hAnsi="宋体" w:cs="宋体"/>
          <w:kern w:val="0"/>
          <w:sz w:val="24"/>
          <w:szCs w:val="24"/>
          <w:highlight w:val="none"/>
        </w:rPr>
        <w:t>万元</w:t>
      </w:r>
      <w:r>
        <w:rPr>
          <w:rFonts w:ascii="宋体" w:hAnsi="宋体" w:cs="宋体"/>
          <w:kern w:val="0"/>
          <w:sz w:val="24"/>
          <w:szCs w:val="24"/>
          <w:highlight w:val="none"/>
        </w:rPr>
        <w:t>/年。服务期自合同签订之日起一年</w:t>
      </w:r>
      <w:r>
        <w:rPr>
          <w:rFonts w:hint="eastAsia" w:ascii="宋体" w:hAnsi="宋体" w:cs="宋体"/>
          <w:kern w:val="0"/>
          <w:sz w:val="24"/>
          <w:szCs w:val="24"/>
          <w:highlight w:val="none"/>
        </w:rPr>
        <w:t>。</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资质要求：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参加本项目磋商的供应商应在响应文件中提供以下证明材料：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（1）具有独立承担民事责任能力的法人或其他组织。须提供证明供应商具有独立承担民事责任能力的相关证件原件或公证书原件（如：营业执照、事业单位法人证书、执业许可证）；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具备省级及以上质量监督部门核发的在有效期内的《中华人民共和国特种设备安装改造维修许可证》（电梯）（类型包括：乘客电梯，载货电梯，杂物电梯：含修理或维修等相关字样，级别：B级及以上）或具备省市级以上质量技术监督部门颁发的在有效期内的《中华人民共和国特种设备生产许可证》（许可项目：含修理或维修等相关字样，许可子项目：包含曳引驱动乘客电梯(含消防员电梯)及曳引驱动载货电梯、杂物电梯等相关内容，许可参数须满足本项目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（3）具有良好的商业信誉和健全的财务会计制度。须提供2022年度经第三方会计师事务所审计的企业财务报告或开标前半年内银行出具的资信证明复印件并加盖公章；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（4）有依法缴纳税收和社会保障资金的良好记录。须提供2023年至少1个月的依法缴纳税收和社会保险费的相关证明材料复印件并加盖公章；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（5）在近三年经营活动中没有重大违法记录。须提供书面声明函原件并加盖公章；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（7）本项目不接受联合体参加磋商，供应商须提供《非联合体磋商声明函》并加盖公章；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本次电梯设备维护保养应包括：</w:t>
      </w: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1）供应商按照国标《电梯维护保养规则》（TSG-T5002-2017）标准对电梯进行周、月度、季度、年度例行保养。</w:t>
      </w: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2）供应商提供24小时电梯急修服务。</w:t>
      </w: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3）供应商负责单次</w:t>
      </w:r>
      <w:r>
        <w:rPr>
          <w:rFonts w:hint="eastAsia" w:ascii="宋体" w:hAnsi="宋体" w:cs="宋体"/>
          <w:kern w:val="0"/>
          <w:sz w:val="24"/>
          <w:szCs w:val="24"/>
          <w:highlight w:val="none"/>
        </w:rPr>
        <w:t>单件</w:t>
      </w:r>
      <w:r>
        <w:rPr>
          <w:rFonts w:ascii="宋体" w:hAnsi="宋体" w:cs="宋体"/>
          <w:kern w:val="0"/>
          <w:sz w:val="24"/>
          <w:szCs w:val="24"/>
          <w:highlight w:val="none"/>
        </w:rPr>
        <w:t>维修总价500元以下</w:t>
      </w:r>
      <w:r>
        <w:rPr>
          <w:rFonts w:hint="eastAsia" w:ascii="宋体" w:hAnsi="宋体" w:cs="宋体"/>
          <w:kern w:val="0"/>
          <w:sz w:val="24"/>
          <w:szCs w:val="24"/>
          <w:highlight w:val="none"/>
        </w:rPr>
        <w:t>的配件，含电梯配件及润滑油，</w:t>
      </w:r>
      <w:r>
        <w:rPr>
          <w:rFonts w:ascii="宋体" w:hAnsi="宋体" w:cs="宋体"/>
          <w:kern w:val="0"/>
          <w:sz w:val="24"/>
          <w:szCs w:val="24"/>
          <w:highlight w:val="none"/>
        </w:rPr>
        <w:t>500元以上由采购人负责。</w:t>
      </w: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4）人为或第三方原因造成电梯损坏，供应商应提供维修服务</w:t>
      </w:r>
      <w:r>
        <w:rPr>
          <w:rFonts w:hint="eastAsia" w:ascii="宋体" w:hAnsi="宋体" w:cs="宋体"/>
          <w:kern w:val="0"/>
          <w:sz w:val="24"/>
          <w:szCs w:val="24"/>
          <w:highlight w:val="none"/>
        </w:rPr>
        <w:t>。</w:t>
      </w: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5）供应商应至少保证2人，7*24小时驻场（</w:t>
      </w:r>
      <w:r>
        <w:rPr>
          <w:rFonts w:hint="eastAsia" w:ascii="宋体" w:hAnsi="宋体" w:cs="宋体"/>
          <w:kern w:val="0"/>
          <w:sz w:val="24"/>
          <w:szCs w:val="24"/>
          <w:highlight w:val="none"/>
        </w:rPr>
        <w:t>驻场人员需持有国家颁发的相关操作证书：安全管理和作业人员证（电梯作业电梯修理</w:t>
      </w:r>
      <w:r>
        <w:rPr>
          <w:rFonts w:ascii="宋体" w:hAnsi="宋体" w:cs="宋体"/>
          <w:kern w:val="0"/>
          <w:sz w:val="24"/>
          <w:szCs w:val="24"/>
          <w:highlight w:val="none"/>
        </w:rPr>
        <w:t>T本）</w:t>
      </w:r>
      <w:r>
        <w:rPr>
          <w:rFonts w:hint="eastAsia" w:ascii="宋体" w:hAnsi="宋体" w:cs="宋体"/>
          <w:kern w:val="0"/>
          <w:sz w:val="24"/>
          <w:szCs w:val="24"/>
          <w:highlight w:val="none"/>
        </w:rPr>
        <w:t>）。</w:t>
      </w:r>
      <w:r>
        <w:rPr>
          <w:rFonts w:ascii="宋体" w:hAnsi="宋体" w:cs="宋体"/>
          <w:kern w:val="0"/>
          <w:sz w:val="24"/>
          <w:szCs w:val="24"/>
          <w:highlight w:val="none"/>
        </w:rPr>
        <w:t>5分钟内到达现场处理故障。</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保养期间内，供应商应随时听取采购人对设备运行状况的反映，对不正常的运行状况，应做认真分析与纠正。应定期对电梯设备的所有项目进行检查，并视情况进行调整、检修、润滑，以维持采购人电梯安全运行。如供应商发现电梯工作的环境（如电源参数、温度、湿度）不利于电梯工作时，应立即与采购人协商解决。</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应根据采购人的电梯情况制定年度保养计划，并提交采购人确认后实施。在保养期间内，应按年度保养计划和相关规定进行保养，每次保养工作完成后，供应商保养人员应请采购人员在明确保养内容和保养情况的记录或报告书上签字确认；如供应商保养人员没有按规定的时间和保养项目进行保养，或违反采购人的有关制度，采购人应知会供应商；因保养不良造成采购人的电梯故障，供应商应负责修复。因此造成采购人及采购人客户其他损失的，供应商负责相应的赔偿责任。</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按照相关法规和标准规定的周期较长的保养内容，合同期内供应商需要通过查阅记录、现场检查等方法判断是否需要保养，无论是否需要保养，都应在年度保养计划中逐项注明。如果因为供应商没有保养产生设备损坏或事故，责任由供应商承担。</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保养记录和报告应一式两份，每次保养结束采购人签名确认后各执一份。供应商需要妥善保存合同期内电梯维保和检修记录。</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在检查电梯时，如确认需维修（超过四小时或需超过两人以上的维修工作）供应商应以书面形式通知采购人，提出维修项目。更换零件时供应商应以书面形式通知采购人，提出维修项目、预定更换期限。常规配件，供应商必须</w:t>
      </w:r>
      <w:r>
        <w:rPr>
          <w:rFonts w:ascii="宋体" w:hAnsi="宋体" w:cs="宋体"/>
          <w:kern w:val="0"/>
          <w:sz w:val="24"/>
          <w:szCs w:val="24"/>
          <w:highlight w:val="none"/>
        </w:rPr>
        <w:t>24小时内更换完毕，大型、贵重配件如电脑主板、曳引机应在两天内更换完毕。如因采购人人为原因造成电梯损坏，需进行维修等，其费用由采购人负责。</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若本项目电梯设备一个月内出现同类故障两次或两次以上，则采购人有权扣除所有出现故障电梯当月维保费的</w:t>
      </w:r>
      <w:r>
        <w:rPr>
          <w:rFonts w:ascii="宋体" w:hAnsi="宋体" w:cs="宋体"/>
          <w:kern w:val="0"/>
          <w:sz w:val="24"/>
          <w:szCs w:val="24"/>
          <w:highlight w:val="none"/>
        </w:rPr>
        <w:t>10%；若同一台电梯一个月内出现两次或两次以上相同故障，采购人有权扣除该部电梯当月维保费的100%；情节严重的，采购人有权终止合同。由于供应商保养不善或疏忽，影响电梯安全运行或造成事故均由供应商负责。在紧急情况下，供应商不能按时到达，一次扣除当月电梯保养费100元；因供应商保养不善，导致同样故障一个月内重复出现两次，扣除当月电梯保养费200元。由于供应商而未能按时更换年审运行证扣该电梯保养费200元。</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负责协助采购人向管辖的特种设备安全检测研究院申报办理所有维保电梯的安全年检手续，并保证取得《安全检验合格》证，避免现场张贴的电梯使用证有效期内出现过期的现象，年检费用由采购人负责，保养期内如属于供应商保养不良而需要复检的电梯检测费则由供应商承担。</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供应商不得以任何理由转包给第三者进行（包括个人）维修保养。</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必须委派具有相应资格的从业人员为采购人提供电梯维修保养服务并做好员工的安全生产教育，承担因供应商过错产生的安全生产责任。供应商负责为供应商员工上保险，供应商人员的维修保养工作中的伤亡均由供应商负责。</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供应商保修工作人员应遵守采购人或采购人委托人的规章制度，并做到现场文明施工，举止礼貌，完工场清。</w:t>
      </w:r>
    </w:p>
    <w:p>
      <w:pPr>
        <w:pStyle w:val="2"/>
        <w:numPr>
          <w:ilvl w:val="0"/>
          <w:numId w:val="1"/>
        </w:numPr>
        <w:snapToGrid w:val="0"/>
        <w:spacing w:line="360" w:lineRule="auto"/>
        <w:ind w:left="0"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 xml:space="preserve">供应商在作业现场设立易耗件备品配件库，需要维修时可现场更换。 电梯维修所需关键部件、重要部件至少在一周内完成到货更换。确保满足采购人对电梯配件的需求。 </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供应商有义务每半年主动向采购人通报承保电梯的配件、备件价格，遇有行业性普遍降低价格时，应主动通报。</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保养合同期内，供应商应至少派</w:t>
      </w:r>
      <w:r>
        <w:rPr>
          <w:rFonts w:ascii="宋体" w:hAnsi="宋体" w:cs="宋体"/>
          <w:kern w:val="0"/>
          <w:sz w:val="24"/>
          <w:szCs w:val="24"/>
          <w:highlight w:val="none"/>
        </w:rPr>
        <w:t>2名驻场维保人员，配备项目负责人员，技术实力强，具有同类项目实施或服务经验，以确保电梯的正常运行及每天一次的电梯设备例行巡查，每半月派遣不少于2名的技术人员（含）对采购人的每台电梯进行一次半月例行保养。每季度由供应商安排技术专家对所保养的电梯进行一次全面检查，重点检查安全装置、保护开关、电脑控制板，对电梯的安全运行状况做出评估报告，交与采购人保存。做好逐台电梯保养记录，建档备查。</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供应商能够提供电梯维修调试专用工具</w:t>
      </w:r>
      <w:r>
        <w:rPr>
          <w:rFonts w:ascii="宋体" w:hAnsi="宋体" w:cs="宋体"/>
          <w:kern w:val="0"/>
          <w:sz w:val="24"/>
          <w:szCs w:val="24"/>
          <w:highlight w:val="none"/>
        </w:rPr>
        <w:t>10个以上种类（需提供专用工具图片和工具的检验鉴定证书）。</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供应商具有校验限速器的能力，并持有限速器检验工具及仪器检验鉴定证书，能够出具检验报告，限速器检验费、</w:t>
      </w:r>
      <w:r>
        <w:rPr>
          <w:rFonts w:ascii="宋体" w:hAnsi="宋体" w:cs="宋体"/>
          <w:kern w:val="0"/>
          <w:sz w:val="24"/>
          <w:szCs w:val="24"/>
          <w:highlight w:val="none"/>
        </w:rPr>
        <w:t>125%制动试验费用由</w:t>
      </w:r>
      <w:r>
        <w:rPr>
          <w:rFonts w:hint="eastAsia" w:ascii="宋体" w:hAnsi="宋体" w:cs="宋体"/>
          <w:kern w:val="0"/>
          <w:sz w:val="24"/>
          <w:szCs w:val="24"/>
          <w:highlight w:val="none"/>
          <w:lang w:val="en-US" w:eastAsia="zh-CN"/>
        </w:rPr>
        <w:t>成交供应商</w:t>
      </w:r>
      <w:r>
        <w:rPr>
          <w:rFonts w:ascii="宋体" w:hAnsi="宋体" w:cs="宋体"/>
          <w:kern w:val="0"/>
          <w:sz w:val="24"/>
          <w:szCs w:val="24"/>
          <w:highlight w:val="none"/>
        </w:rPr>
        <w:t>负责。</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供应商负责每年为采购人所有电梯上电梯乘客责任险（累计责任限额</w:t>
      </w:r>
      <w:r>
        <w:rPr>
          <w:rFonts w:ascii="宋体" w:hAnsi="宋体" w:cs="宋体"/>
          <w:kern w:val="0"/>
          <w:sz w:val="24"/>
          <w:szCs w:val="24"/>
          <w:highlight w:val="none"/>
        </w:rPr>
        <w:t>1000万元）</w:t>
      </w:r>
      <w:r>
        <w:rPr>
          <w:rFonts w:hint="eastAsia" w:ascii="宋体" w:hAnsi="宋体" w:cs="宋体"/>
          <w:kern w:val="0"/>
          <w:sz w:val="24"/>
          <w:szCs w:val="24"/>
          <w:highlight w:val="none"/>
        </w:rPr>
        <w:t>。如因各类电梯问题导致伤人情况，产生一切费用均由成交供应商负责。</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成交供应商负责解决电梯机房温度控制工作，</w:t>
      </w:r>
      <w:r>
        <w:rPr>
          <w:rFonts w:ascii="宋体" w:hAnsi="宋体" w:cs="宋体"/>
          <w:kern w:val="0"/>
          <w:sz w:val="24"/>
          <w:szCs w:val="24"/>
          <w:highlight w:val="none"/>
        </w:rPr>
        <w:t>国家规定机房温度在</w:t>
      </w:r>
      <w:r>
        <w:rPr>
          <w:rFonts w:hint="eastAsia" w:ascii="宋体" w:hAnsi="宋体" w:cs="宋体"/>
          <w:kern w:val="0"/>
          <w:sz w:val="24"/>
          <w:szCs w:val="24"/>
          <w:highlight w:val="none"/>
        </w:rPr>
        <w:t>摄氏</w:t>
      </w:r>
      <w:r>
        <w:rPr>
          <w:rFonts w:ascii="宋体" w:hAnsi="宋体" w:cs="宋体"/>
          <w:kern w:val="0"/>
          <w:sz w:val="24"/>
          <w:szCs w:val="24"/>
          <w:highlight w:val="none"/>
        </w:rPr>
        <w:t>5度-40度</w:t>
      </w:r>
      <w:r>
        <w:rPr>
          <w:rFonts w:hint="eastAsia" w:ascii="宋体" w:hAnsi="宋体" w:cs="宋体"/>
          <w:kern w:val="0"/>
          <w:sz w:val="24"/>
          <w:szCs w:val="24"/>
          <w:highlight w:val="none"/>
        </w:rPr>
        <w:t>。</w:t>
      </w:r>
    </w:p>
    <w:p>
      <w:pPr>
        <w:pStyle w:val="2"/>
        <w:numPr>
          <w:ilvl w:val="0"/>
          <w:numId w:val="1"/>
        </w:numPr>
        <w:snapToGrid w:val="0"/>
        <w:spacing w:line="360" w:lineRule="auto"/>
        <w:ind w:left="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成交供应商负责为采购方建立电梯一梯一档，定期展开应急演练。</w:t>
      </w:r>
    </w:p>
    <w:p>
      <w:pPr>
        <w:pStyle w:val="2"/>
        <w:snapToGrid w:val="0"/>
        <w:spacing w:line="360" w:lineRule="auto"/>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（二）项目技术需求</w:t>
      </w:r>
    </w:p>
    <w:p>
      <w:pPr>
        <w:pStyle w:val="2"/>
        <w:snapToGrid w:val="0"/>
        <w:spacing w:line="360" w:lineRule="auto"/>
        <w:ind w:firstLine="482" w:firstLineChars="200"/>
        <w:jc w:val="left"/>
        <w:rPr>
          <w:rFonts w:ascii="宋体" w:hAnsi="宋体" w:cs="宋体"/>
          <w:b/>
          <w:bCs/>
          <w:kern w:val="0"/>
          <w:sz w:val="24"/>
          <w:szCs w:val="24"/>
          <w:highlight w:val="none"/>
        </w:rPr>
      </w:pPr>
      <w:r>
        <w:rPr>
          <w:rFonts w:ascii="宋体" w:hAnsi="宋体" w:cs="宋体"/>
          <w:b/>
          <w:bCs/>
          <w:kern w:val="0"/>
          <w:sz w:val="24"/>
          <w:szCs w:val="24"/>
          <w:highlight w:val="none"/>
        </w:rPr>
        <w:t>1.乘客电梯、载货电梯日常维护保养项目（内容）和要求</w:t>
      </w: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1）半月维保项目（内容）和要求：见表A-1</w:t>
      </w:r>
    </w:p>
    <w:p>
      <w:pPr>
        <w:spacing w:line="240" w:lineRule="auto"/>
        <w:ind w:firstLine="0" w:firstLineChars="0"/>
        <w:jc w:val="left"/>
        <w:rPr>
          <w:rFonts w:hint="eastAsia" w:ascii="仿宋" w:hAnsi="仿宋" w:eastAsia="仿宋"/>
          <w:sz w:val="24"/>
          <w:szCs w:val="24"/>
          <w:highlight w:val="none"/>
        </w:rPr>
      </w:pPr>
      <w:r>
        <w:rPr>
          <w:rFonts w:hint="eastAsia" w:ascii="仿宋" w:hAnsi="仿宋" w:eastAsia="仿宋"/>
          <w:sz w:val="24"/>
          <w:szCs w:val="24"/>
          <w:highlight w:val="none"/>
        </w:rPr>
        <w:br w:type="page"/>
      </w:r>
    </w:p>
    <w:p>
      <w:pPr>
        <w:spacing w:line="480" w:lineRule="exact"/>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表</w:t>
      </w:r>
      <w:r>
        <w:rPr>
          <w:rFonts w:ascii="仿宋" w:hAnsi="仿宋" w:eastAsia="仿宋"/>
          <w:sz w:val="24"/>
          <w:szCs w:val="24"/>
          <w:highlight w:val="none"/>
        </w:rPr>
        <w:t xml:space="preserve">A-1  </w:t>
      </w:r>
      <w:r>
        <w:rPr>
          <w:rFonts w:hint="eastAsia" w:ascii="仿宋" w:hAnsi="仿宋" w:eastAsia="仿宋"/>
          <w:sz w:val="24"/>
          <w:szCs w:val="24"/>
          <w:highlight w:val="none"/>
        </w:rPr>
        <w:t>半月维保项目（内容）和要求</w:t>
      </w:r>
    </w:p>
    <w:tbl>
      <w:tblPr>
        <w:tblStyle w:val="7"/>
        <w:tblW w:w="8678" w:type="dxa"/>
        <w:jc w:val="center"/>
        <w:tblLayout w:type="fixed"/>
        <w:tblCellMar>
          <w:top w:w="0" w:type="dxa"/>
          <w:left w:w="108" w:type="dxa"/>
          <w:bottom w:w="0" w:type="dxa"/>
          <w:right w:w="108" w:type="dxa"/>
        </w:tblCellMar>
      </w:tblPr>
      <w:tblGrid>
        <w:gridCol w:w="720"/>
        <w:gridCol w:w="3330"/>
        <w:gridCol w:w="4628"/>
      </w:tblGrid>
      <w:tr>
        <w:tblPrEx>
          <w:tblCellMar>
            <w:top w:w="0" w:type="dxa"/>
            <w:left w:w="108" w:type="dxa"/>
            <w:bottom w:w="0" w:type="dxa"/>
            <w:right w:w="108" w:type="dxa"/>
          </w:tblCellMar>
        </w:tblPrEx>
        <w:trPr>
          <w:trHeight w:val="397" w:hRule="atLeast"/>
          <w:jc w:val="center"/>
        </w:trPr>
        <w:tc>
          <w:tcPr>
            <w:tcW w:w="720"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b/>
                <w:sz w:val="24"/>
                <w:szCs w:val="24"/>
                <w:highlight w:val="none"/>
              </w:rPr>
            </w:pPr>
            <w:r>
              <w:rPr>
                <w:rFonts w:hint="eastAsia" w:ascii="仿宋" w:hAnsi="仿宋" w:eastAsia="仿宋"/>
                <w:b/>
                <w:sz w:val="24"/>
                <w:szCs w:val="24"/>
                <w:highlight w:val="none"/>
              </w:rPr>
              <w:t>序号</w:t>
            </w:r>
          </w:p>
        </w:tc>
        <w:tc>
          <w:tcPr>
            <w:tcW w:w="3330"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sz w:val="24"/>
                <w:szCs w:val="24"/>
                <w:highlight w:val="none"/>
              </w:rPr>
            </w:pPr>
            <w:r>
              <w:rPr>
                <w:rFonts w:hint="eastAsia" w:ascii="仿宋" w:hAnsi="仿宋" w:eastAsia="仿宋"/>
                <w:b/>
                <w:sz w:val="24"/>
                <w:szCs w:val="24"/>
                <w:highlight w:val="none"/>
              </w:rPr>
              <w:t>维保项目（内容）</w:t>
            </w:r>
          </w:p>
        </w:tc>
        <w:tc>
          <w:tcPr>
            <w:tcW w:w="4628"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b/>
                <w:sz w:val="24"/>
                <w:szCs w:val="24"/>
                <w:highlight w:val="none"/>
              </w:rPr>
            </w:pPr>
            <w:r>
              <w:rPr>
                <w:rFonts w:hint="eastAsia" w:ascii="仿宋" w:hAnsi="仿宋" w:eastAsia="仿宋"/>
                <w:b/>
                <w:sz w:val="24"/>
                <w:szCs w:val="24"/>
                <w:highlight w:val="none"/>
              </w:rPr>
              <w:t>维保基本要求</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机房、滑轮间环境</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清洁，门窗完好、照明正常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手动紧急操作装置</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齐全，在指定位置</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3</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曳引机</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运行时无异常振动和异常声响</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4</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制动器各销轴部位</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润滑，动作灵活</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5</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制动器间隙</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打开时制动衬与制动轮不应发生摩擦</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6</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编码器</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清洁，安装牢固</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7</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限速器各销轴部位</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润滑，转动灵活；电气开关正常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8</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轿顶</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清洁，防护拦安全可靠</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9</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轿顶检修开关、急停开关</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工作正常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10</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导靴上油杯</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吸油毛毡齐全，油量适宜，油杯无泄漏</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11</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对重块及其压板</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对重块无松动，压板紧固</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12</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井道照明</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齐全、正常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13</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轿厢照明、风扇、应急照明</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工作正常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14</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轿厢检修开关、急停开关</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工作正常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15</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轿内报警装置、对讲系统</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工作正常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16</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轿内显示、指令按钮</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齐全、有效</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17</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轿门安全装置（安全触板，光幕、光电等）</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功能有效</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18</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轿门门锁电气触点</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清洁</w:t>
            </w:r>
            <w:r>
              <w:rPr>
                <w:rFonts w:ascii="仿宋" w:hAnsi="仿宋" w:eastAsia="仿宋"/>
                <w:sz w:val="24"/>
                <w:szCs w:val="24"/>
                <w:highlight w:val="none"/>
              </w:rPr>
              <w:t xml:space="preserve">, </w:t>
            </w:r>
            <w:r>
              <w:rPr>
                <w:rFonts w:hint="eastAsia" w:ascii="仿宋" w:hAnsi="仿宋" w:eastAsia="仿宋"/>
                <w:sz w:val="24"/>
                <w:szCs w:val="24"/>
                <w:highlight w:val="none"/>
              </w:rPr>
              <w:t>触点接触良好，接线可靠</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19</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轿门运行</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开启和关闭工作正常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20</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轿厢平层精度</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符合标准</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21</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层站召唤、层楼显示</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齐全、有效</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22</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层门地坎</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清洁</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23</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层门自动关门装置</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24</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层门门锁自动复位</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用层门钥匙打开手动开锁装置释放后，层门门锁能自动复位</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25</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层门门锁电气触点</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清洁</w:t>
            </w:r>
            <w:r>
              <w:rPr>
                <w:rFonts w:ascii="仿宋" w:hAnsi="仿宋" w:eastAsia="仿宋"/>
                <w:sz w:val="24"/>
                <w:szCs w:val="24"/>
                <w:highlight w:val="none"/>
              </w:rPr>
              <w:t xml:space="preserve">, </w:t>
            </w:r>
            <w:r>
              <w:rPr>
                <w:rFonts w:hint="eastAsia" w:ascii="仿宋" w:hAnsi="仿宋" w:eastAsia="仿宋"/>
                <w:sz w:val="24"/>
                <w:szCs w:val="24"/>
                <w:highlight w:val="none"/>
              </w:rPr>
              <w:t>触点接触良好，接线可靠</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26</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层门锁紧元件啮合长度</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不小于</w:t>
            </w:r>
            <w:r>
              <w:rPr>
                <w:rFonts w:ascii="仿宋" w:hAnsi="仿宋" w:eastAsia="仿宋"/>
                <w:sz w:val="24"/>
                <w:szCs w:val="24"/>
                <w:highlight w:val="none"/>
              </w:rPr>
              <w:t>7mm</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27</w:t>
            </w:r>
          </w:p>
        </w:tc>
        <w:tc>
          <w:tcPr>
            <w:tcW w:w="333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底坑环境</w:t>
            </w:r>
          </w:p>
        </w:tc>
        <w:tc>
          <w:tcPr>
            <w:tcW w:w="4628"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清洁，无渗水、积水；照明正常</w:t>
            </w:r>
          </w:p>
        </w:tc>
      </w:tr>
      <w:tr>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12" w:space="0"/>
              <w:bottom w:val="single" w:color="auto" w:sz="12" w:space="0"/>
              <w:right w:val="single" w:color="auto" w:sz="6" w:space="0"/>
            </w:tcBorders>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28</w:t>
            </w:r>
          </w:p>
        </w:tc>
        <w:tc>
          <w:tcPr>
            <w:tcW w:w="3330"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底坑急停开关</w:t>
            </w:r>
          </w:p>
        </w:tc>
        <w:tc>
          <w:tcPr>
            <w:tcW w:w="4628"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工作正常</w:t>
            </w:r>
          </w:p>
        </w:tc>
      </w:tr>
    </w:tbl>
    <w:p>
      <w:pPr>
        <w:pStyle w:val="2"/>
        <w:snapToGrid w:val="0"/>
        <w:spacing w:line="360" w:lineRule="auto"/>
        <w:ind w:firstLine="480" w:firstLineChars="200"/>
        <w:jc w:val="left"/>
        <w:rPr>
          <w:rFonts w:ascii="宋体" w:hAnsi="宋体" w:cs="宋体"/>
          <w:kern w:val="0"/>
          <w:sz w:val="24"/>
          <w:szCs w:val="24"/>
          <w:highlight w:val="none"/>
        </w:rPr>
      </w:pP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2）季度维保项目（内容）和要求：季度维保项目（内容）和要求除应符合A1的要求外，还应当符合表A-2的要求。</w:t>
      </w:r>
    </w:p>
    <w:p>
      <w:pPr>
        <w:adjustRightInd w:val="0"/>
        <w:snapToGrid w:val="0"/>
        <w:spacing w:line="480" w:lineRule="auto"/>
        <w:jc w:val="center"/>
        <w:rPr>
          <w:rFonts w:ascii="仿宋" w:hAnsi="仿宋" w:eastAsia="仿宋"/>
          <w:sz w:val="24"/>
          <w:szCs w:val="24"/>
          <w:highlight w:val="none"/>
        </w:rPr>
      </w:pPr>
      <w:r>
        <w:rPr>
          <w:rFonts w:hint="eastAsia" w:ascii="仿宋" w:hAnsi="仿宋" w:eastAsia="仿宋"/>
          <w:sz w:val="24"/>
          <w:szCs w:val="24"/>
          <w:highlight w:val="none"/>
        </w:rPr>
        <w:t>表</w:t>
      </w:r>
      <w:r>
        <w:rPr>
          <w:rFonts w:ascii="仿宋" w:hAnsi="仿宋" w:eastAsia="仿宋"/>
          <w:sz w:val="24"/>
          <w:szCs w:val="24"/>
          <w:highlight w:val="none"/>
        </w:rPr>
        <w:t xml:space="preserve">A-2  </w:t>
      </w:r>
      <w:r>
        <w:rPr>
          <w:rFonts w:hint="eastAsia" w:ascii="仿宋" w:hAnsi="仿宋" w:eastAsia="仿宋"/>
          <w:sz w:val="24"/>
          <w:szCs w:val="24"/>
          <w:highlight w:val="none"/>
        </w:rPr>
        <w:t>季度维保项目（内容）和要求</w:t>
      </w:r>
    </w:p>
    <w:tbl>
      <w:tblPr>
        <w:tblStyle w:val="7"/>
        <w:tblW w:w="8687" w:type="dxa"/>
        <w:jc w:val="center"/>
        <w:tblLayout w:type="fixed"/>
        <w:tblCellMar>
          <w:top w:w="0" w:type="dxa"/>
          <w:left w:w="108" w:type="dxa"/>
          <w:bottom w:w="0" w:type="dxa"/>
          <w:right w:w="108" w:type="dxa"/>
        </w:tblCellMar>
      </w:tblPr>
      <w:tblGrid>
        <w:gridCol w:w="712"/>
        <w:gridCol w:w="3350"/>
        <w:gridCol w:w="4625"/>
      </w:tblGrid>
      <w:tr>
        <w:tblPrEx>
          <w:tblCellMar>
            <w:top w:w="0" w:type="dxa"/>
            <w:left w:w="108" w:type="dxa"/>
            <w:bottom w:w="0" w:type="dxa"/>
            <w:right w:w="108" w:type="dxa"/>
          </w:tblCellMar>
        </w:tblPrEx>
        <w:trPr>
          <w:trHeight w:val="397" w:hRule="atLeast"/>
          <w:jc w:val="center"/>
        </w:trPr>
        <w:tc>
          <w:tcPr>
            <w:tcW w:w="712"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350"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维保项目（内容）</w:t>
            </w:r>
          </w:p>
        </w:tc>
        <w:tc>
          <w:tcPr>
            <w:tcW w:w="4625"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维保基本要求</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减速机润滑油</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油量适宜，除蜗杆伸出端外均无渗漏</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制动衬</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清洁，磨损量不超过制造单位要求</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位置脉冲发生器</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选层器动静触点</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清洁，无烧蚀</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曳引轮槽、曳引钢丝绳</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清洁，无严重油腻，张力均匀</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限速器轮槽、限速器钢丝绳</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清洁，无严重油腻</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靴衬、滚轮</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清洁，磨损量不超过制造厂家要求</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验证轿门关闭的电气安全装置</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层门、轿门系统中传动钢丝绳、链条、胶带</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按照制造单位要求进行清洁、调整</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层门门导靴</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磨损量不超过制造单位要求</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消防开关</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工作正常，功能有效</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33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耗能缓冲器</w:t>
            </w:r>
          </w:p>
        </w:tc>
        <w:tc>
          <w:tcPr>
            <w:tcW w:w="462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电气安全装置功能有效，油量适宜，柱塞无锈蚀</w:t>
            </w:r>
          </w:p>
        </w:tc>
      </w:tr>
      <w:tr>
        <w:tblPrEx>
          <w:tblCellMar>
            <w:top w:w="0" w:type="dxa"/>
            <w:left w:w="108" w:type="dxa"/>
            <w:bottom w:w="0" w:type="dxa"/>
            <w:right w:w="108" w:type="dxa"/>
          </w:tblCellMar>
        </w:tblPrEx>
        <w:trPr>
          <w:trHeight w:val="397" w:hRule="atLeast"/>
          <w:jc w:val="center"/>
        </w:trPr>
        <w:tc>
          <w:tcPr>
            <w:tcW w:w="712" w:type="dxa"/>
            <w:tcBorders>
              <w:top w:val="single" w:color="auto" w:sz="6" w:space="0"/>
              <w:left w:val="single" w:color="auto" w:sz="12" w:space="0"/>
              <w:bottom w:val="single" w:color="auto" w:sz="12"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3350"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限速器张紧轮装置和电气安全装置</w:t>
            </w:r>
          </w:p>
        </w:tc>
        <w:tc>
          <w:tcPr>
            <w:tcW w:w="4625"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bl>
    <w:p>
      <w:pPr>
        <w:pStyle w:val="2"/>
        <w:snapToGrid w:val="0"/>
        <w:spacing w:line="360" w:lineRule="auto"/>
        <w:ind w:firstLine="480" w:firstLineChars="200"/>
        <w:jc w:val="left"/>
        <w:rPr>
          <w:rFonts w:ascii="宋体" w:hAnsi="宋体" w:cs="宋体"/>
          <w:kern w:val="0"/>
          <w:sz w:val="24"/>
          <w:szCs w:val="24"/>
          <w:highlight w:val="none"/>
        </w:rPr>
      </w:pPr>
    </w:p>
    <w:p>
      <w:pPr>
        <w:pStyle w:val="2"/>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3）半年维保项目（内容）和要求：半年维保项目（内容）和要求除应符合A2的要求外，还应符合表A-3的要求。</w:t>
      </w:r>
    </w:p>
    <w:p>
      <w:pPr>
        <w:spacing w:line="480" w:lineRule="exact"/>
        <w:jc w:val="center"/>
        <w:rPr>
          <w:rFonts w:ascii="仿宋" w:hAnsi="仿宋" w:eastAsia="仿宋"/>
          <w:sz w:val="24"/>
          <w:szCs w:val="24"/>
          <w:highlight w:val="none"/>
        </w:rPr>
      </w:pPr>
      <w:r>
        <w:rPr>
          <w:rFonts w:hint="eastAsia" w:ascii="仿宋" w:hAnsi="仿宋" w:eastAsia="仿宋"/>
          <w:sz w:val="24"/>
          <w:szCs w:val="24"/>
          <w:highlight w:val="none"/>
        </w:rPr>
        <w:t>表</w:t>
      </w:r>
      <w:r>
        <w:rPr>
          <w:rFonts w:ascii="仿宋" w:hAnsi="仿宋" w:eastAsia="仿宋"/>
          <w:sz w:val="24"/>
          <w:szCs w:val="24"/>
          <w:highlight w:val="none"/>
        </w:rPr>
        <w:t xml:space="preserve">A-3  </w:t>
      </w:r>
      <w:r>
        <w:rPr>
          <w:rFonts w:hint="eastAsia" w:ascii="仿宋" w:hAnsi="仿宋" w:eastAsia="仿宋"/>
          <w:sz w:val="24"/>
          <w:szCs w:val="24"/>
          <w:highlight w:val="none"/>
        </w:rPr>
        <w:t>半年维保项目（内容）和要求</w:t>
      </w:r>
    </w:p>
    <w:tbl>
      <w:tblPr>
        <w:tblStyle w:val="7"/>
        <w:tblW w:w="8872" w:type="dxa"/>
        <w:jc w:val="center"/>
        <w:tblLayout w:type="fixed"/>
        <w:tblCellMar>
          <w:top w:w="0" w:type="dxa"/>
          <w:left w:w="108" w:type="dxa"/>
          <w:bottom w:w="0" w:type="dxa"/>
          <w:right w:w="108" w:type="dxa"/>
        </w:tblCellMar>
      </w:tblPr>
      <w:tblGrid>
        <w:gridCol w:w="724"/>
        <w:gridCol w:w="3326"/>
        <w:gridCol w:w="4822"/>
      </w:tblGrid>
      <w:tr>
        <w:tblPrEx>
          <w:tblCellMar>
            <w:top w:w="0" w:type="dxa"/>
            <w:left w:w="108" w:type="dxa"/>
            <w:bottom w:w="0" w:type="dxa"/>
            <w:right w:w="108" w:type="dxa"/>
          </w:tblCellMar>
        </w:tblPrEx>
        <w:trPr>
          <w:trHeight w:val="397" w:hRule="atLeast"/>
          <w:jc w:val="center"/>
        </w:trPr>
        <w:tc>
          <w:tcPr>
            <w:tcW w:w="724"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326"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维保项目（内容）</w:t>
            </w:r>
          </w:p>
        </w:tc>
        <w:tc>
          <w:tcPr>
            <w:tcW w:w="4822"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维保基本要求</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电动机与减速机联轴器螺栓</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无松动</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曳引轮、导向轮轴承部</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无异常声</w:t>
            </w:r>
            <w:r>
              <w:rPr>
                <w:rFonts w:ascii="仿宋" w:hAnsi="仿宋" w:eastAsia="仿宋" w:cs="仿宋"/>
                <w:sz w:val="24"/>
                <w:szCs w:val="24"/>
                <w:highlight w:val="none"/>
              </w:rPr>
              <w:t>,无振动,润滑良好</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曳引轮槽</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磨损量不超过制造单位要求</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制动器上检测开关</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r>
              <w:rPr>
                <w:rFonts w:ascii="仿宋" w:hAnsi="仿宋" w:eastAsia="仿宋" w:cs="仿宋"/>
                <w:sz w:val="24"/>
                <w:szCs w:val="24"/>
                <w:highlight w:val="none"/>
              </w:rPr>
              <w:t>,制动器动作可靠</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控制柜内各接线端子</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各接线紧固、整齐</w:t>
            </w:r>
            <w:r>
              <w:rPr>
                <w:rFonts w:ascii="仿宋" w:hAnsi="仿宋" w:eastAsia="仿宋" w:cs="仿宋"/>
                <w:sz w:val="24"/>
                <w:szCs w:val="24"/>
                <w:highlight w:val="none"/>
              </w:rPr>
              <w:t>,线号齐全清晰</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控制柜各仪表</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显示正确</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井道、对重、轿顶各反绳轮轴承部</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无异常声</w:t>
            </w:r>
            <w:r>
              <w:rPr>
                <w:rFonts w:ascii="仿宋" w:hAnsi="仿宋" w:eastAsia="仿宋" w:cs="仿宋"/>
                <w:sz w:val="24"/>
                <w:szCs w:val="24"/>
                <w:highlight w:val="none"/>
              </w:rPr>
              <w:t>,无振动,润滑良好</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曳引绳、补偿绳</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磨损量、断丝数不超过要求</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曳引绳绳头组合</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螺母无松动</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限速器钢丝绳</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磨损量、断丝数不超过制造单位要求</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层门、轿门门扇</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门扇各相关间隙符合标准</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对重缓冲距</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符合标准</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33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补偿链（绳）与轿厢、对重接合处</w:t>
            </w:r>
          </w:p>
        </w:tc>
        <w:tc>
          <w:tcPr>
            <w:tcW w:w="4822"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固定、无松动</w:t>
            </w:r>
          </w:p>
        </w:tc>
      </w:tr>
      <w:tr>
        <w:tblPrEx>
          <w:tblCellMar>
            <w:top w:w="0" w:type="dxa"/>
            <w:left w:w="108" w:type="dxa"/>
            <w:bottom w:w="0" w:type="dxa"/>
            <w:right w:w="108" w:type="dxa"/>
          </w:tblCellMar>
        </w:tblPrEx>
        <w:trPr>
          <w:trHeight w:val="397" w:hRule="atLeast"/>
          <w:jc w:val="center"/>
        </w:trPr>
        <w:tc>
          <w:tcPr>
            <w:tcW w:w="724" w:type="dxa"/>
            <w:tcBorders>
              <w:top w:val="single" w:color="auto" w:sz="6" w:space="0"/>
              <w:left w:val="single" w:color="auto" w:sz="12" w:space="0"/>
              <w:bottom w:val="single" w:color="auto" w:sz="12"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3326"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上下极限开关</w:t>
            </w:r>
          </w:p>
        </w:tc>
        <w:tc>
          <w:tcPr>
            <w:tcW w:w="4822"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bl>
    <w:p>
      <w:pPr>
        <w:adjustRightInd w:val="0"/>
        <w:snapToGrid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 xml:space="preserve"> （4）年度维保项目（内容）和要求：年度维保项目（内容）和要求除应符合A3的要求外，还应符合表A-4的要求。</w:t>
      </w:r>
    </w:p>
    <w:p>
      <w:pPr>
        <w:spacing w:line="480" w:lineRule="exact"/>
        <w:jc w:val="center"/>
        <w:rPr>
          <w:rFonts w:ascii="仿宋" w:hAnsi="仿宋" w:eastAsia="仿宋"/>
          <w:sz w:val="24"/>
          <w:szCs w:val="24"/>
          <w:highlight w:val="none"/>
        </w:rPr>
      </w:pPr>
      <w:r>
        <w:rPr>
          <w:rFonts w:hint="eastAsia" w:ascii="仿宋" w:hAnsi="仿宋" w:eastAsia="仿宋"/>
          <w:sz w:val="24"/>
          <w:szCs w:val="24"/>
          <w:highlight w:val="none"/>
        </w:rPr>
        <w:t>表</w:t>
      </w:r>
      <w:r>
        <w:rPr>
          <w:rFonts w:ascii="仿宋" w:hAnsi="仿宋" w:eastAsia="仿宋"/>
          <w:sz w:val="24"/>
          <w:szCs w:val="24"/>
          <w:highlight w:val="none"/>
        </w:rPr>
        <w:t xml:space="preserve">A-4  </w:t>
      </w:r>
      <w:r>
        <w:rPr>
          <w:rFonts w:hint="eastAsia" w:ascii="仿宋" w:hAnsi="仿宋" w:eastAsia="仿宋"/>
          <w:sz w:val="24"/>
          <w:szCs w:val="24"/>
          <w:highlight w:val="none"/>
        </w:rPr>
        <w:t>年度维保项目（内容）和要求</w:t>
      </w:r>
    </w:p>
    <w:tbl>
      <w:tblPr>
        <w:tblStyle w:val="7"/>
        <w:tblW w:w="9060" w:type="dxa"/>
        <w:jc w:val="center"/>
        <w:tblLayout w:type="fixed"/>
        <w:tblCellMar>
          <w:top w:w="0" w:type="dxa"/>
          <w:left w:w="108" w:type="dxa"/>
          <w:bottom w:w="0" w:type="dxa"/>
          <w:right w:w="108" w:type="dxa"/>
        </w:tblCellMar>
      </w:tblPr>
      <w:tblGrid>
        <w:gridCol w:w="885"/>
        <w:gridCol w:w="3240"/>
        <w:gridCol w:w="4935"/>
      </w:tblGrid>
      <w:tr>
        <w:tblPrEx>
          <w:tblCellMar>
            <w:top w:w="0" w:type="dxa"/>
            <w:left w:w="108" w:type="dxa"/>
            <w:bottom w:w="0" w:type="dxa"/>
            <w:right w:w="108" w:type="dxa"/>
          </w:tblCellMar>
        </w:tblPrEx>
        <w:trPr>
          <w:trHeight w:val="397" w:hRule="atLeast"/>
          <w:jc w:val="center"/>
        </w:trPr>
        <w:tc>
          <w:tcPr>
            <w:tcW w:w="885"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240"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维保项目（内容）</w:t>
            </w:r>
          </w:p>
        </w:tc>
        <w:tc>
          <w:tcPr>
            <w:tcW w:w="4935"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维保基本要求</w:t>
            </w:r>
          </w:p>
        </w:tc>
      </w:tr>
      <w:tr>
        <w:tblPrEx>
          <w:tblCellMar>
            <w:top w:w="0" w:type="dxa"/>
            <w:left w:w="108" w:type="dxa"/>
            <w:bottom w:w="0" w:type="dxa"/>
            <w:right w:w="108" w:type="dxa"/>
          </w:tblCellMar>
        </w:tblPrEx>
        <w:trPr>
          <w:trHeight w:val="397"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减速机润滑油</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按照制造单位要求适时更换，保证油质符合要求</w:t>
            </w:r>
          </w:p>
        </w:tc>
      </w:tr>
      <w:tr>
        <w:tblPrEx>
          <w:tblCellMar>
            <w:top w:w="0" w:type="dxa"/>
            <w:left w:w="108" w:type="dxa"/>
            <w:bottom w:w="0" w:type="dxa"/>
            <w:right w:w="108" w:type="dxa"/>
          </w:tblCellMar>
        </w:tblPrEx>
        <w:trPr>
          <w:trHeight w:val="57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控制柜接触器，继电器触点</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接触良好</w:t>
            </w:r>
          </w:p>
        </w:tc>
      </w:tr>
      <w:tr>
        <w:tblPrEx>
          <w:tblCellMar>
            <w:top w:w="0" w:type="dxa"/>
            <w:left w:w="108" w:type="dxa"/>
            <w:bottom w:w="0" w:type="dxa"/>
            <w:right w:w="108" w:type="dxa"/>
          </w:tblCellMar>
        </w:tblPrEx>
        <w:trPr>
          <w:trHeight w:val="397"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制动器铁芯（柱塞）</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进行清洁、润滑、检查，磨损量不超过制造单位要求</w:t>
            </w:r>
          </w:p>
        </w:tc>
      </w:tr>
      <w:tr>
        <w:tblPrEx>
          <w:tblCellMar>
            <w:top w:w="0" w:type="dxa"/>
            <w:left w:w="108" w:type="dxa"/>
            <w:bottom w:w="0" w:type="dxa"/>
            <w:right w:w="108" w:type="dxa"/>
          </w:tblCellMar>
        </w:tblPrEx>
        <w:trPr>
          <w:trHeight w:val="519"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制动器制动弹簧压缩量</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符合制造单位要求，保持有足够的制动力</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导电回路绝缘性能测试</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符合标准</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限速器安全钳联动试验（每</w:t>
            </w:r>
            <w:r>
              <w:rPr>
                <w:rFonts w:ascii="仿宋" w:hAnsi="仿宋" w:eastAsia="仿宋" w:cs="仿宋"/>
                <w:sz w:val="24"/>
                <w:szCs w:val="24"/>
                <w:highlight w:val="none"/>
              </w:rPr>
              <w:t>2年进行一次限速器动作速度校验）</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上行超速保护装置动作试验</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轿顶、轿厢架、轿门及期附件安装螺栓</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紧固</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轿厢和对重的导轨支架</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固定，无松动</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轿厢和对重的导轨</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清洁，压板牢固</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随行电缆</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无损伤</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层门装置和地坎</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无影响正常使用的变形，各安装螺栓紧固</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轿厢称重装置</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准确有效</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安全钳钳座</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固定，无松动</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15</w:t>
            </w:r>
          </w:p>
        </w:tc>
        <w:tc>
          <w:tcPr>
            <w:tcW w:w="3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轿底各安装螺栓</w:t>
            </w:r>
          </w:p>
        </w:tc>
        <w:tc>
          <w:tcPr>
            <w:tcW w:w="493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紧固</w:t>
            </w:r>
          </w:p>
        </w:tc>
      </w:tr>
      <w:tr>
        <w:tblPrEx>
          <w:tblCellMar>
            <w:top w:w="0" w:type="dxa"/>
            <w:left w:w="108" w:type="dxa"/>
            <w:bottom w:w="0" w:type="dxa"/>
            <w:right w:w="108" w:type="dxa"/>
          </w:tblCellMar>
        </w:tblPrEx>
        <w:trPr>
          <w:trHeight w:val="525" w:hRule="atLeast"/>
          <w:jc w:val="center"/>
        </w:trPr>
        <w:tc>
          <w:tcPr>
            <w:tcW w:w="885" w:type="dxa"/>
            <w:tcBorders>
              <w:top w:val="single" w:color="auto" w:sz="6" w:space="0"/>
              <w:left w:val="single" w:color="auto" w:sz="12" w:space="0"/>
              <w:bottom w:val="single" w:color="auto" w:sz="12"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16</w:t>
            </w:r>
          </w:p>
        </w:tc>
        <w:tc>
          <w:tcPr>
            <w:tcW w:w="3240"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缓冲器</w:t>
            </w:r>
          </w:p>
        </w:tc>
        <w:tc>
          <w:tcPr>
            <w:tcW w:w="4935"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固定，无松动</w:t>
            </w:r>
          </w:p>
        </w:tc>
      </w:tr>
    </w:tbl>
    <w:p>
      <w:pPr>
        <w:spacing w:line="480" w:lineRule="exact"/>
        <w:rPr>
          <w:rFonts w:ascii="宋体" w:hAnsi="宋体" w:cs="宋体"/>
          <w:kern w:val="0"/>
          <w:sz w:val="24"/>
          <w:szCs w:val="24"/>
          <w:highlight w:val="none"/>
        </w:rPr>
      </w:pPr>
    </w:p>
    <w:p>
      <w:pPr>
        <w:adjustRightInd w:val="0"/>
        <w:snapToGrid w:val="0"/>
        <w:spacing w:line="360" w:lineRule="auto"/>
        <w:ind w:firstLine="482" w:firstLineChars="200"/>
        <w:jc w:val="left"/>
        <w:rPr>
          <w:rFonts w:ascii="宋体" w:hAnsi="宋体" w:cs="宋体"/>
          <w:b/>
          <w:bCs/>
          <w:kern w:val="0"/>
          <w:sz w:val="24"/>
          <w:szCs w:val="24"/>
          <w:highlight w:val="none"/>
        </w:rPr>
      </w:pPr>
      <w:r>
        <w:rPr>
          <w:rFonts w:ascii="宋体" w:hAnsi="宋体" w:cs="宋体"/>
          <w:b/>
          <w:bCs/>
          <w:kern w:val="0"/>
          <w:sz w:val="24"/>
          <w:szCs w:val="24"/>
          <w:highlight w:val="none"/>
        </w:rPr>
        <w:t>2.自动扶梯日常维护保养项目（内容）和要求</w:t>
      </w:r>
    </w:p>
    <w:p>
      <w:pPr>
        <w:adjustRightInd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1）半月维护保养项目（内容）和要求：见表B-1</w:t>
      </w:r>
    </w:p>
    <w:p>
      <w:pPr>
        <w:spacing w:line="480" w:lineRule="exact"/>
        <w:jc w:val="center"/>
        <w:rPr>
          <w:rFonts w:ascii="仿宋" w:hAnsi="仿宋" w:eastAsia="仿宋"/>
          <w:sz w:val="24"/>
          <w:szCs w:val="24"/>
          <w:highlight w:val="none"/>
        </w:rPr>
      </w:pPr>
      <w:r>
        <w:rPr>
          <w:rFonts w:hint="eastAsia" w:ascii="仿宋" w:hAnsi="仿宋" w:eastAsia="仿宋"/>
          <w:sz w:val="24"/>
          <w:szCs w:val="24"/>
          <w:highlight w:val="none"/>
        </w:rPr>
        <w:t>表</w:t>
      </w:r>
      <w:r>
        <w:rPr>
          <w:rFonts w:ascii="仿宋" w:hAnsi="仿宋" w:eastAsia="仿宋"/>
          <w:sz w:val="24"/>
          <w:szCs w:val="24"/>
          <w:highlight w:val="none"/>
        </w:rPr>
        <w:t xml:space="preserve">B-1  </w:t>
      </w:r>
      <w:r>
        <w:rPr>
          <w:rFonts w:hint="eastAsia" w:ascii="仿宋" w:hAnsi="仿宋" w:eastAsia="仿宋"/>
          <w:sz w:val="24"/>
          <w:szCs w:val="24"/>
          <w:highlight w:val="none"/>
        </w:rPr>
        <w:t>半月维保项目（内容）和要求</w:t>
      </w:r>
    </w:p>
    <w:tbl>
      <w:tblPr>
        <w:tblStyle w:val="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0"/>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400" w:type="dxa"/>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维保项目（内容）</w:t>
            </w:r>
          </w:p>
        </w:tc>
        <w:tc>
          <w:tcPr>
            <w:tcW w:w="4608" w:type="dxa"/>
            <w:vAlign w:val="center"/>
          </w:tcPr>
          <w:p>
            <w:pPr>
              <w:adjustRightInd w:val="0"/>
              <w:snapToGrid w:val="0"/>
              <w:jc w:val="center"/>
              <w:rPr>
                <w:rFonts w:ascii="仿宋" w:hAnsi="仿宋" w:eastAsia="仿宋" w:cs="仿宋"/>
                <w:b/>
                <w:sz w:val="24"/>
                <w:szCs w:val="24"/>
                <w:highlight w:val="none"/>
              </w:rPr>
            </w:pPr>
            <w:r>
              <w:rPr>
                <w:rFonts w:hint="eastAsia" w:ascii="仿宋" w:hAnsi="仿宋" w:eastAsia="仿宋" w:cs="仿宋"/>
                <w:b/>
                <w:sz w:val="24"/>
                <w:szCs w:val="24"/>
                <w:highlight w:val="none"/>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所有电器部件</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接线有效、清洁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电子板</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信号功能正常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杂物和垃圾</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清扫、清洁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设备正常运行</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没有异响和抖动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主驱动链</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制动机械装置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制动检测开关</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制动触点</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减速箱油、油量</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应在油标卡尺上下极限位置之间、无渗油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3400" w:type="dxa"/>
            <w:vAlign w:val="center"/>
          </w:tcPr>
          <w:p>
            <w:pPr>
              <w:adjustRightInd w:val="0"/>
              <w:snapToGrid w:val="0"/>
              <w:ind w:firstLine="480" w:firstLineChars="200"/>
              <w:jc w:val="center"/>
              <w:rPr>
                <w:rFonts w:ascii="仿宋" w:hAnsi="仿宋" w:eastAsia="仿宋" w:cs="仿宋"/>
                <w:sz w:val="24"/>
                <w:szCs w:val="24"/>
                <w:highlight w:val="none"/>
              </w:rPr>
            </w:pPr>
            <w:r>
              <w:rPr>
                <w:rFonts w:hint="eastAsia" w:ascii="仿宋" w:hAnsi="仿宋" w:eastAsia="仿宋" w:cs="仿宋"/>
                <w:sz w:val="24"/>
                <w:szCs w:val="24"/>
                <w:highlight w:val="none"/>
              </w:rPr>
              <w:t>电机通风口</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应清洁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扶手带运行速度</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扶手带情况</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表面无毛刺、无机械损伤、运行无摩擦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扶手带护壁板</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扶手带入口垃圾</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清扫、清洁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15</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扶手带与梯级、踏板速度差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16</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钥匙开关</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17</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检修开关</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18</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急停按钮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19</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梳齿板安全装置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驱动链安全装置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21</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低速限速装置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22</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超速限速装置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23</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扶手带入口安装装置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动作灵活有效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24</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梯级齿条安装装置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25</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梯级下陷安装装置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26</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油嘴位置和齿条润滑情况</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27</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内侧版内外盖板围裙板</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紧密牢固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28</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检查梳齿板情况</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完好、无破损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29</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前沿板</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30</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梯级与梳齿之间的间隙</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应符合国家标准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31</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出入口安全警示标志、使用须知、出厂铭牌</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安全警示标志齐全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32</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运行方向显示、故障显示功能</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显示正确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33</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垂直防护板挡板、上下出口和扶梯之间的保护栏杆、防爬装置周边安全设施</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牢固可靠、安全设施齐全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34</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乘客感应装置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35</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扶手带安全装置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36</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扶手带断带保护装置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37</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非操作逆转保护装置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38</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围裙板安装装置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测试有效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39</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辅助制动器</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动作正常、有效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40</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弯曲导轨安装装置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41</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各电器安装装置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42</w:t>
            </w:r>
          </w:p>
        </w:tc>
        <w:tc>
          <w:tcPr>
            <w:tcW w:w="3400" w:type="dxa"/>
            <w:vAlign w:val="center"/>
          </w:tcPr>
          <w:p>
            <w:pPr>
              <w:adjustRightInd w:val="0"/>
              <w:snapToGrid w:val="0"/>
              <w:rPr>
                <w:rFonts w:ascii="仿宋" w:hAnsi="仿宋" w:eastAsia="仿宋" w:cs="仿宋"/>
                <w:sz w:val="24"/>
                <w:szCs w:val="24"/>
                <w:highlight w:val="none"/>
              </w:rPr>
            </w:pPr>
            <w:r>
              <w:rPr>
                <w:rFonts w:hint="eastAsia" w:ascii="仿宋" w:hAnsi="仿宋" w:eastAsia="仿宋" w:cs="仿宋"/>
                <w:sz w:val="24"/>
                <w:szCs w:val="24"/>
                <w:highlight w:val="none"/>
              </w:rPr>
              <w:t>油盘、水槽、油水分离器</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43</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上下部转向板</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44</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梯级轴滚轮导靴</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应清洁、润滑有效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45</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驱动装置定位情况</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46</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三角皮带</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无老化、开裂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47</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手动盘车装置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48</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扶手驱动装置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49</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梯级与围裙板间隙</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50</w:t>
            </w:r>
          </w:p>
        </w:tc>
        <w:tc>
          <w:tcPr>
            <w:tcW w:w="340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梯级或踏板缺失安全装置</w:t>
            </w:r>
          </w:p>
        </w:tc>
        <w:tc>
          <w:tcPr>
            <w:tcW w:w="460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工作正常、有效</w:t>
            </w:r>
          </w:p>
        </w:tc>
      </w:tr>
    </w:tbl>
    <w:p>
      <w:pPr>
        <w:adjustRightInd w:val="0"/>
        <w:snapToGrid w:val="0"/>
        <w:spacing w:line="360" w:lineRule="auto"/>
        <w:ind w:firstLine="480" w:firstLineChars="200"/>
        <w:jc w:val="left"/>
        <w:rPr>
          <w:rFonts w:ascii="宋体" w:hAnsi="宋体" w:cs="宋体"/>
          <w:kern w:val="0"/>
          <w:sz w:val="24"/>
          <w:szCs w:val="24"/>
          <w:highlight w:val="none"/>
        </w:rPr>
      </w:pPr>
    </w:p>
    <w:p>
      <w:pPr>
        <w:adjustRightInd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2）季度维保项目（内容）和要求：季度维保项目（内容）和要求除应符合B1的要求外，还应当符合表B-2的要求。</w:t>
      </w:r>
    </w:p>
    <w:p>
      <w:pPr>
        <w:spacing w:line="480" w:lineRule="exact"/>
        <w:jc w:val="center"/>
        <w:rPr>
          <w:rFonts w:ascii="仿宋" w:hAnsi="仿宋" w:eastAsia="仿宋"/>
          <w:sz w:val="24"/>
          <w:szCs w:val="24"/>
          <w:highlight w:val="none"/>
        </w:rPr>
      </w:pPr>
      <w:r>
        <w:rPr>
          <w:rFonts w:hint="eastAsia" w:ascii="仿宋" w:hAnsi="仿宋" w:eastAsia="仿宋"/>
          <w:sz w:val="24"/>
          <w:szCs w:val="24"/>
          <w:highlight w:val="none"/>
        </w:rPr>
        <w:t>表</w:t>
      </w:r>
      <w:r>
        <w:rPr>
          <w:rFonts w:ascii="仿宋" w:hAnsi="仿宋" w:eastAsia="仿宋"/>
          <w:sz w:val="24"/>
          <w:szCs w:val="24"/>
          <w:highlight w:val="none"/>
        </w:rPr>
        <w:t xml:space="preserve">B-2  </w:t>
      </w:r>
      <w:r>
        <w:rPr>
          <w:rFonts w:hint="eastAsia" w:ascii="仿宋" w:hAnsi="仿宋" w:eastAsia="仿宋"/>
          <w:sz w:val="24"/>
          <w:szCs w:val="24"/>
          <w:highlight w:val="none"/>
        </w:rPr>
        <w:t>季度维保项目（内容）和要求</w:t>
      </w:r>
    </w:p>
    <w:tbl>
      <w:tblPr>
        <w:tblStyle w:val="7"/>
        <w:tblW w:w="90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217"/>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217"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维保项目（内容）</w:t>
            </w:r>
          </w:p>
        </w:tc>
        <w:tc>
          <w:tcPr>
            <w:tcW w:w="4931"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梯级链或梯级齿条涨紧装置</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梯级轴润滑</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梯级链或梯级齿条</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围裙防夹安全装置</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扶手带、梯级去静电装置</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上下部保护装置</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上下桁架</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部件完好、无变形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梯级紧固</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牢固有效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驱动装置轴承润滑</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上下转向板组件润滑</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梯级踏板与梯级之间的缝隙</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控制屏和接线箱清洁</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接线有效、应清洁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控制屏各电源</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接线有效、应清洁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紧固各接线端子</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15</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上部桁架各部件完好</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部件工作正常、可靠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16</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梯级滚轮磨损情况</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无老化、开裂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17</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下部接线盒清洁</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应清洁、除尘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18</w:t>
            </w:r>
          </w:p>
        </w:tc>
        <w:tc>
          <w:tcPr>
            <w:tcW w:w="321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检查各接线端子</w:t>
            </w:r>
          </w:p>
        </w:tc>
        <w:tc>
          <w:tcPr>
            <w:tcW w:w="4931"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牢固、无虚接</w:t>
            </w:r>
          </w:p>
        </w:tc>
      </w:tr>
    </w:tbl>
    <w:p>
      <w:pPr>
        <w:adjustRightInd w:val="0"/>
        <w:snapToGrid w:val="0"/>
        <w:spacing w:line="360" w:lineRule="auto"/>
        <w:ind w:firstLine="480" w:firstLineChars="200"/>
        <w:jc w:val="left"/>
        <w:rPr>
          <w:rFonts w:ascii="宋体" w:hAnsi="宋体" w:cs="宋体"/>
          <w:kern w:val="0"/>
          <w:sz w:val="24"/>
          <w:szCs w:val="24"/>
          <w:highlight w:val="none"/>
        </w:rPr>
      </w:pPr>
    </w:p>
    <w:p>
      <w:pPr>
        <w:adjustRightInd w:val="0"/>
        <w:snapToGrid w:val="0"/>
        <w:spacing w:line="360" w:lineRule="auto"/>
        <w:ind w:firstLine="480" w:firstLineChars="200"/>
        <w:jc w:val="left"/>
        <w:rPr>
          <w:rFonts w:ascii="仿宋" w:hAnsi="仿宋" w:eastAsia="仿宋"/>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3）半年维保项目（内容）和要求：半年维保项目（内容）和要求除应符合B2的要求外，还应符合表B-3的要求。</w:t>
      </w:r>
    </w:p>
    <w:p>
      <w:pPr>
        <w:spacing w:line="480" w:lineRule="exact"/>
        <w:jc w:val="center"/>
        <w:rPr>
          <w:rFonts w:ascii="仿宋" w:hAnsi="仿宋" w:eastAsia="仿宋"/>
          <w:sz w:val="24"/>
          <w:szCs w:val="24"/>
          <w:highlight w:val="none"/>
        </w:rPr>
      </w:pPr>
      <w:r>
        <w:rPr>
          <w:rFonts w:hint="eastAsia" w:ascii="仿宋" w:hAnsi="仿宋" w:eastAsia="仿宋"/>
          <w:sz w:val="24"/>
          <w:szCs w:val="24"/>
          <w:highlight w:val="none"/>
        </w:rPr>
        <w:t>表</w:t>
      </w:r>
      <w:r>
        <w:rPr>
          <w:rFonts w:ascii="仿宋" w:hAnsi="仿宋" w:eastAsia="仿宋"/>
          <w:sz w:val="24"/>
          <w:szCs w:val="24"/>
          <w:highlight w:val="none"/>
        </w:rPr>
        <w:t xml:space="preserve">B-3  </w:t>
      </w:r>
      <w:r>
        <w:rPr>
          <w:rFonts w:hint="eastAsia" w:ascii="仿宋" w:hAnsi="仿宋" w:eastAsia="仿宋"/>
          <w:sz w:val="24"/>
          <w:szCs w:val="24"/>
          <w:highlight w:val="none"/>
        </w:rPr>
        <w:t>半年维保项目（内容）和要求</w:t>
      </w:r>
    </w:p>
    <w:tbl>
      <w:tblPr>
        <w:tblStyle w:val="7"/>
        <w:tblW w:w="9066" w:type="dxa"/>
        <w:tblInd w:w="113" w:type="dxa"/>
        <w:tblLayout w:type="fixed"/>
        <w:tblCellMar>
          <w:top w:w="0" w:type="dxa"/>
          <w:left w:w="108" w:type="dxa"/>
          <w:bottom w:w="0" w:type="dxa"/>
          <w:right w:w="108" w:type="dxa"/>
        </w:tblCellMar>
      </w:tblPr>
      <w:tblGrid>
        <w:gridCol w:w="918"/>
        <w:gridCol w:w="3217"/>
        <w:gridCol w:w="4931"/>
      </w:tblGrid>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维保项目（内容）</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维保基本要求</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主驱动链清理油污润滑</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清洁、润滑有效</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空载向下制动距离</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符合国家标准</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梯级齿条</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无破损</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上下弯曲段压轨尺寸</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符合国家标准</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主驱动链滑块清洁、及厚度</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润滑有效、厚度符合制造单位要求</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扶手带张力</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导夹和导夹挡块</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扶手导向圈环</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电动机与减速机，联轴器连接无松动，弹性元件外观良好</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无老化，松动，工作良好</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辅助制动器清洁、润滑</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润滑有效、功能可靠</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扶手带速度监控系统</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工作正常、有效</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制动器机械装置润滑</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润滑有效、工作有效</w:t>
            </w:r>
          </w:p>
        </w:tc>
      </w:tr>
      <w:tr>
        <w:tblPrEx>
          <w:tblCellMar>
            <w:top w:w="0" w:type="dxa"/>
            <w:left w:w="108" w:type="dxa"/>
            <w:bottom w:w="0" w:type="dxa"/>
            <w:right w:w="108" w:type="dxa"/>
          </w:tblCellMar>
        </w:tblPrEx>
        <w:trPr>
          <w:trHeight w:val="397" w:hRule="atLeast"/>
        </w:trPr>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3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加热装置</w:t>
            </w:r>
          </w:p>
        </w:tc>
        <w:tc>
          <w:tcPr>
            <w:tcW w:w="4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工作有效</w:t>
            </w:r>
          </w:p>
        </w:tc>
      </w:tr>
    </w:tbl>
    <w:p>
      <w:pPr>
        <w:adjustRightInd w:val="0"/>
        <w:snapToGrid w:val="0"/>
        <w:spacing w:line="360" w:lineRule="auto"/>
        <w:ind w:firstLine="480" w:firstLineChars="200"/>
        <w:jc w:val="left"/>
        <w:rPr>
          <w:rFonts w:ascii="宋体" w:hAnsi="宋体" w:cs="宋体"/>
          <w:kern w:val="0"/>
          <w:sz w:val="24"/>
          <w:szCs w:val="24"/>
          <w:highlight w:val="none"/>
        </w:rPr>
      </w:pPr>
    </w:p>
    <w:p>
      <w:pPr>
        <w:adjustRightInd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4）年度维保项目（内容）和要求：年度维保项目（内容）和要求除应符合B3的要求外，还应符合表B-4的要求。</w:t>
      </w:r>
    </w:p>
    <w:p>
      <w:pPr>
        <w:adjustRightInd w:val="0"/>
        <w:snapToGrid w:val="0"/>
        <w:spacing w:line="360" w:lineRule="auto"/>
        <w:jc w:val="center"/>
        <w:rPr>
          <w:rFonts w:ascii="仿宋" w:hAnsi="仿宋" w:eastAsia="仿宋"/>
          <w:sz w:val="24"/>
          <w:szCs w:val="24"/>
          <w:highlight w:val="none"/>
        </w:rPr>
      </w:pPr>
      <w:r>
        <w:rPr>
          <w:rFonts w:hint="eastAsia" w:ascii="宋体" w:hAnsi="宋体" w:cs="宋体"/>
          <w:kern w:val="0"/>
          <w:sz w:val="24"/>
          <w:szCs w:val="24"/>
          <w:highlight w:val="none"/>
        </w:rPr>
        <w:t>表</w:t>
      </w:r>
      <w:r>
        <w:rPr>
          <w:rFonts w:ascii="宋体" w:hAnsi="宋体" w:cs="宋体"/>
          <w:kern w:val="0"/>
          <w:sz w:val="24"/>
          <w:szCs w:val="24"/>
          <w:highlight w:val="none"/>
        </w:rPr>
        <w:t>B-</w:t>
      </w:r>
      <w:r>
        <w:rPr>
          <w:rFonts w:ascii="仿宋" w:hAnsi="仿宋" w:eastAsia="仿宋"/>
          <w:sz w:val="24"/>
          <w:szCs w:val="24"/>
          <w:highlight w:val="none"/>
        </w:rPr>
        <w:t xml:space="preserve">4  </w:t>
      </w:r>
      <w:r>
        <w:rPr>
          <w:rFonts w:hint="eastAsia" w:ascii="仿宋" w:hAnsi="仿宋" w:eastAsia="仿宋"/>
          <w:sz w:val="24"/>
          <w:szCs w:val="24"/>
          <w:highlight w:val="none"/>
        </w:rPr>
        <w:t>年度维保项目（内容）和要求</w:t>
      </w:r>
    </w:p>
    <w:tbl>
      <w:tblPr>
        <w:tblStyle w:val="7"/>
        <w:tblW w:w="90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472"/>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472"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维保项目（内容）</w:t>
            </w:r>
          </w:p>
        </w:tc>
        <w:tc>
          <w:tcPr>
            <w:tcW w:w="4676"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上下部专项板分解</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紧固导轨、压轨螺栓</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检查电线电缆</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无破损、固定牢固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皮带轮平衡度</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工作正常、无偏移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检查链轮</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紧固驱动装置各部分安装螺栓</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主接触器</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工作正常，无虚接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驱动单元接线箱及接线端子紧固</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固定可靠、无虚接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驱动单元接线箱的停止开关</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动作有效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驱动部压轨间隙</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清洁扶手带内侧</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应清洁、无破损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扶手带导向块和导向轮清洁</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应清洁、工作正常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进入梳齿处的梯级与导轮的轴向窜动量</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设备运行状况，梯级运行平稳，无异常抖动，无异响</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8"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15</w:t>
            </w:r>
          </w:p>
        </w:tc>
        <w:tc>
          <w:tcPr>
            <w:tcW w:w="3472"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扶手导轨</w:t>
            </w:r>
          </w:p>
        </w:tc>
        <w:tc>
          <w:tcPr>
            <w:tcW w:w="4676"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工作正常</w:t>
            </w:r>
          </w:p>
        </w:tc>
      </w:tr>
    </w:tbl>
    <w:p>
      <w:pPr>
        <w:adjustRightInd w:val="0"/>
        <w:snapToGrid w:val="0"/>
        <w:jc w:val="left"/>
        <w:rPr>
          <w:rFonts w:ascii="仿宋" w:hAnsi="仿宋" w:eastAsia="仿宋" w:cs="仿宋"/>
          <w:sz w:val="24"/>
          <w:szCs w:val="24"/>
          <w:highlight w:val="none"/>
        </w:rPr>
      </w:pPr>
    </w:p>
    <w:p>
      <w:pPr>
        <w:adjustRightInd w:val="0"/>
        <w:snapToGrid w:val="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注：</w:t>
      </w:r>
    </w:p>
    <w:p>
      <w:pPr>
        <w:adjustRightInd w:val="0"/>
        <w:snapToGrid w:val="0"/>
        <w:jc w:val="lef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1）如果某些电梯没有表中的项目（内容），如有的电梯不含有某种部件，项目（内容）可适当进行调整；</w:t>
      </w:r>
    </w:p>
    <w:p>
      <w:pPr>
        <w:adjustRightInd w:val="0"/>
        <w:snapToGrid w:val="0"/>
        <w:jc w:val="lef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2）维保项目（内容）和要求中对测试、试验有明确规定的，应当按照规定进行测试、试验，没有明确规定的，一般为检查、调整、清洁和润滑；</w:t>
      </w:r>
    </w:p>
    <w:p>
      <w:pPr>
        <w:adjustRightInd w:val="0"/>
        <w:snapToGrid w:val="0"/>
        <w:jc w:val="lef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3）维保基本要求，规定为“符合标准”的，有国家标准应当符合国家标准，没有国家标准的应当符合行业标准、企业标准；</w:t>
      </w:r>
    </w:p>
    <w:p>
      <w:pPr>
        <w:adjustRightInd w:val="0"/>
        <w:snapToGrid w:val="0"/>
        <w:jc w:val="lef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4）维保基本要求，规定为“制造单位要求”的，按照制造单位的要求，其他没有明确的“要求”，应当为安全技术规范、标准或者制造单位等的要求。</w:t>
      </w:r>
    </w:p>
    <w:p>
      <w:pPr>
        <w:adjustRightInd w:val="0"/>
        <w:snapToGrid w:val="0"/>
        <w:spacing w:line="360" w:lineRule="auto"/>
        <w:ind w:firstLine="482" w:firstLineChars="200"/>
        <w:jc w:val="left"/>
        <w:rPr>
          <w:rFonts w:ascii="宋体" w:hAnsi="宋体" w:cs="宋体"/>
          <w:b/>
          <w:bCs/>
          <w:sz w:val="24"/>
          <w:szCs w:val="24"/>
          <w:highlight w:val="none"/>
        </w:rPr>
      </w:pPr>
    </w:p>
    <w:p>
      <w:pPr>
        <w:adjustRightInd w:val="0"/>
        <w:snapToGrid w:val="0"/>
        <w:spacing w:line="360" w:lineRule="auto"/>
        <w:ind w:firstLine="482" w:firstLineChars="200"/>
        <w:jc w:val="left"/>
        <w:rPr>
          <w:rFonts w:ascii="宋体" w:hAnsi="宋体" w:cs="宋体"/>
          <w:b/>
          <w:bCs/>
          <w:sz w:val="24"/>
          <w:szCs w:val="24"/>
          <w:highlight w:val="none"/>
        </w:rPr>
      </w:pPr>
    </w:p>
    <w:p>
      <w:pPr>
        <w:pStyle w:val="6"/>
        <w:rPr>
          <w:highlight w:val="none"/>
        </w:rPr>
      </w:pP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（三）电梯规格型号清单：</w:t>
      </w:r>
    </w:p>
    <w:p>
      <w:pPr>
        <w:adjustRightInd w:val="0"/>
        <w:snapToGrid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1.乘客电梯、扶梯电梯</w:t>
      </w:r>
      <w:r>
        <w:rPr>
          <w:rFonts w:hint="eastAsia" w:ascii="宋体" w:hAnsi="宋体" w:cs="宋体"/>
          <w:sz w:val="24"/>
          <w:szCs w:val="24"/>
          <w:highlight w:val="none"/>
        </w:rPr>
        <w:t>型号清单</w:t>
      </w:r>
    </w:p>
    <w:tbl>
      <w:tblPr>
        <w:tblStyle w:val="7"/>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8"/>
        <w:gridCol w:w="1388"/>
        <w:gridCol w:w="1085"/>
        <w:gridCol w:w="1213"/>
        <w:gridCol w:w="1125"/>
        <w:gridCol w:w="92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196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梯号</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地点</w:t>
            </w:r>
          </w:p>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（楼栋名）</w:t>
            </w:r>
          </w:p>
        </w:tc>
        <w:tc>
          <w:tcPr>
            <w:tcW w:w="108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层</w:t>
            </w:r>
            <w:r>
              <w:rPr>
                <w:rFonts w:ascii="仿宋" w:hAnsi="仿宋" w:eastAsia="仿宋" w:cs="仿宋"/>
                <w:sz w:val="24"/>
                <w:szCs w:val="24"/>
                <w:highlight w:val="none"/>
              </w:rPr>
              <w:t>/站数</w:t>
            </w:r>
          </w:p>
        </w:tc>
        <w:tc>
          <w:tcPr>
            <w:tcW w:w="1213"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梯速</w:t>
            </w:r>
            <w:r>
              <w:rPr>
                <w:rFonts w:ascii="仿宋" w:hAnsi="仿宋" w:eastAsia="仿宋" w:cs="仿宋"/>
                <w:sz w:val="24"/>
                <w:szCs w:val="24"/>
                <w:highlight w:val="none"/>
              </w:rPr>
              <w:t>m/s</w:t>
            </w:r>
          </w:p>
        </w:tc>
        <w:tc>
          <w:tcPr>
            <w:tcW w:w="11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额定载重量</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生产厂家</w:t>
            </w:r>
          </w:p>
        </w:tc>
        <w:tc>
          <w:tcPr>
            <w:tcW w:w="777"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E/30062769.001</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E/30062769.002</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E/30062769.003</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E/30062769.004</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E/30062769.005</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E/30062769.006</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1968" w:type="dxa"/>
            <w:vAlign w:val="center"/>
          </w:tcPr>
          <w:p>
            <w:pPr>
              <w:tabs>
                <w:tab w:val="left" w:pos="295"/>
              </w:tabs>
              <w:spacing w:line="360" w:lineRule="auto"/>
              <w:ind w:firstLine="360" w:firstLineChars="200"/>
              <w:jc w:val="left"/>
              <w:rPr>
                <w:rFonts w:ascii="仿宋" w:hAnsi="仿宋" w:eastAsia="仿宋" w:cs="仿宋"/>
                <w:sz w:val="24"/>
                <w:szCs w:val="24"/>
                <w:highlight w:val="none"/>
              </w:rPr>
            </w:pPr>
            <w:r>
              <w:rPr>
                <w:rFonts w:ascii="宋体" w:hAnsi="宋体"/>
                <w:sz w:val="18"/>
                <w:szCs w:val="18"/>
                <w:highlight w:val="none"/>
              </w:rPr>
              <w:t>E/30062769.007</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12/12</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E/30062769.008</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12/12</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E/30062769.009</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E/30062769.010</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0"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1968"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E/30062769.011</w:t>
            </w:r>
          </w:p>
        </w:tc>
        <w:tc>
          <w:tcPr>
            <w:tcW w:w="1388"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tcBorders>
              <w:bottom w:val="single" w:color="auto" w:sz="4" w:space="0"/>
            </w:tcBorders>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1968"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E/30062769.012</w:t>
            </w:r>
          </w:p>
        </w:tc>
        <w:tc>
          <w:tcPr>
            <w:tcW w:w="1388"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tcBorders>
              <w:bottom w:val="single" w:color="auto" w:sz="4" w:space="0"/>
            </w:tcBorders>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top w:val="single" w:color="auto" w:sz="4" w:space="0"/>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1968" w:type="dxa"/>
            <w:tcBorders>
              <w:top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E/30062769.013</w:t>
            </w:r>
          </w:p>
        </w:tc>
        <w:tc>
          <w:tcPr>
            <w:tcW w:w="1388" w:type="dxa"/>
            <w:tcBorders>
              <w:top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tcBorders>
              <w:top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tcBorders>
              <w:top w:val="single" w:color="auto" w:sz="4" w:space="0"/>
            </w:tcBorders>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tcBorders>
              <w:top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tcBorders>
              <w:top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top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E/30062769.014</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14/14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1.75m/s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15</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E/30062769.015</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16</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E/30062769.016</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17</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E/30062769.017</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18</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E/30062769.018</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7/7</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19</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E/30062769.019</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E/30062769.020</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21</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E/30062769.021</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22</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E/30062769.022</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23</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E/30062769.023</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6/6</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24</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E/30062769.024</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4/4</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25</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E/30062769.025</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3/3</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26</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E/30062769.026</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3/3</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27</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E/30062769.027</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3/3</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28</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E/30062769.028</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3/3</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1600KG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29</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E/30062769.029</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2/2</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630KG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30</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E/30062769.030</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2/2</w:t>
            </w:r>
          </w:p>
        </w:tc>
        <w:tc>
          <w:tcPr>
            <w:tcW w:w="1213"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630KG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31</w:t>
            </w:r>
          </w:p>
        </w:tc>
        <w:tc>
          <w:tcPr>
            <w:tcW w:w="1968"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E/30062769.031</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2/2</w:t>
            </w:r>
          </w:p>
        </w:tc>
        <w:tc>
          <w:tcPr>
            <w:tcW w:w="1213" w:type="dxa"/>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630KG</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tcBorders>
              <w:left w:val="single" w:color="auto" w:sz="4" w:space="0"/>
              <w:bottom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32</w:t>
            </w:r>
          </w:p>
        </w:tc>
        <w:tc>
          <w:tcPr>
            <w:tcW w:w="1968"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E/30062769.032</w:t>
            </w:r>
          </w:p>
        </w:tc>
        <w:tc>
          <w:tcPr>
            <w:tcW w:w="1388"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住院部</w:t>
            </w:r>
          </w:p>
        </w:tc>
        <w:tc>
          <w:tcPr>
            <w:tcW w:w="1085"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2/2</w:t>
            </w:r>
          </w:p>
        </w:tc>
        <w:tc>
          <w:tcPr>
            <w:tcW w:w="1213" w:type="dxa"/>
            <w:tcBorders>
              <w:bottom w:val="single" w:color="auto" w:sz="4" w:space="0"/>
            </w:tcBorders>
            <w:vAlign w:val="center"/>
          </w:tcPr>
          <w:p>
            <w:pPr>
              <w:spacing w:line="360" w:lineRule="auto"/>
              <w:ind w:firstLine="180" w:firstLineChars="100"/>
              <w:jc w:val="center"/>
              <w:rPr>
                <w:rFonts w:ascii="仿宋" w:hAnsi="仿宋" w:eastAsia="仿宋" w:cs="仿宋"/>
                <w:sz w:val="24"/>
                <w:szCs w:val="24"/>
                <w:highlight w:val="none"/>
              </w:rPr>
            </w:pPr>
            <w:r>
              <w:rPr>
                <w:rFonts w:ascii="宋体" w:hAnsi="宋体"/>
                <w:sz w:val="18"/>
                <w:szCs w:val="18"/>
                <w:highlight w:val="none"/>
              </w:rPr>
              <w:t>1.0m/s</w:t>
            </w:r>
          </w:p>
        </w:tc>
        <w:tc>
          <w:tcPr>
            <w:tcW w:w="1125" w:type="dxa"/>
            <w:tcBorders>
              <w:bottom w:val="single" w:color="auto" w:sz="4" w:space="0"/>
            </w:tcBorders>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630KG</w:t>
            </w:r>
          </w:p>
        </w:tc>
        <w:tc>
          <w:tcPr>
            <w:tcW w:w="925" w:type="dxa"/>
            <w:tcBorders>
              <w:bottom w:val="single" w:color="auto" w:sz="4" w:space="0"/>
            </w:tcBorders>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蒂升电梯</w:t>
            </w:r>
          </w:p>
        </w:tc>
        <w:tc>
          <w:tcPr>
            <w:tcW w:w="777" w:type="dxa"/>
            <w:tcBorders>
              <w:bottom w:val="single" w:color="auto" w:sz="4" w:space="0"/>
              <w:right w:val="single" w:color="auto" w:sz="4" w:space="0"/>
            </w:tcBorders>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bl>
    <w:p>
      <w:pPr>
        <w:adjustRightInd w:val="0"/>
        <w:snapToGrid w:val="0"/>
        <w:spacing w:line="360" w:lineRule="auto"/>
        <w:jc w:val="left"/>
        <w:rPr>
          <w:rFonts w:ascii="宋体" w:hAnsi="宋体" w:cs="宋体"/>
          <w:color w:val="auto"/>
          <w:kern w:val="0"/>
          <w:sz w:val="24"/>
          <w:szCs w:val="24"/>
          <w:highlight w:val="none"/>
        </w:rPr>
      </w:pPr>
    </w:p>
    <w:p>
      <w:pPr>
        <w:adjustRightInd w:val="0"/>
        <w:snapToGrid w:val="0"/>
        <w:spacing w:line="360" w:lineRule="auto"/>
        <w:jc w:val="left"/>
        <w:rPr>
          <w:rFonts w:ascii="宋体" w:hAnsi="宋体" w:cs="宋体"/>
          <w:color w:val="auto"/>
          <w:kern w:val="0"/>
          <w:sz w:val="24"/>
          <w:szCs w:val="24"/>
          <w:highlight w:val="none"/>
        </w:rPr>
      </w:pP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2.自动扶梯</w:t>
      </w:r>
      <w:r>
        <w:rPr>
          <w:rFonts w:hint="eastAsia" w:ascii="宋体" w:hAnsi="宋体" w:cs="宋体"/>
          <w:sz w:val="24"/>
          <w:szCs w:val="24"/>
          <w:highlight w:val="none"/>
        </w:rPr>
        <w:t>型号清单</w:t>
      </w:r>
    </w:p>
    <w:tbl>
      <w:tblPr>
        <w:tblStyle w:val="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200"/>
        <w:gridCol w:w="1388"/>
        <w:gridCol w:w="1085"/>
        <w:gridCol w:w="1213"/>
        <w:gridCol w:w="1125"/>
        <w:gridCol w:w="92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4"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200"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梯号</w:t>
            </w:r>
          </w:p>
        </w:tc>
        <w:tc>
          <w:tcPr>
            <w:tcW w:w="1388"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地点</w:t>
            </w:r>
          </w:p>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（楼栋名）</w:t>
            </w:r>
          </w:p>
        </w:tc>
        <w:tc>
          <w:tcPr>
            <w:tcW w:w="1085"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倾斜角</w:t>
            </w:r>
          </w:p>
        </w:tc>
        <w:tc>
          <w:tcPr>
            <w:tcW w:w="1213"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梯速</w:t>
            </w:r>
            <w:r>
              <w:rPr>
                <w:rFonts w:ascii="仿宋" w:hAnsi="仿宋" w:eastAsia="仿宋" w:cs="仿宋"/>
                <w:b/>
                <w:bCs/>
                <w:sz w:val="24"/>
                <w:szCs w:val="24"/>
                <w:highlight w:val="none"/>
              </w:rPr>
              <w:t>m/s</w:t>
            </w:r>
          </w:p>
        </w:tc>
        <w:tc>
          <w:tcPr>
            <w:tcW w:w="1125"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提升高度</w:t>
            </w:r>
          </w:p>
        </w:tc>
        <w:tc>
          <w:tcPr>
            <w:tcW w:w="925"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生产厂家</w:t>
            </w:r>
          </w:p>
        </w:tc>
        <w:tc>
          <w:tcPr>
            <w:tcW w:w="777" w:type="dxa"/>
            <w:vAlign w:val="center"/>
          </w:tcPr>
          <w:p>
            <w:pPr>
              <w:adjustRightInd w:val="0"/>
              <w:snapToGrid w:val="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64"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2200"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NT80176</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35°</w:t>
            </w:r>
          </w:p>
        </w:tc>
        <w:tc>
          <w:tcPr>
            <w:tcW w:w="1213"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5.100m</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2200"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NT80177</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35°</w:t>
            </w:r>
          </w:p>
        </w:tc>
        <w:tc>
          <w:tcPr>
            <w:tcW w:w="1213"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5.100m</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3</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NT80178</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5.100m</w:t>
            </w:r>
          </w:p>
        </w:tc>
        <w:tc>
          <w:tcPr>
            <w:tcW w:w="925"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4</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NT80179</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5.100m</w:t>
            </w:r>
          </w:p>
        </w:tc>
        <w:tc>
          <w:tcPr>
            <w:tcW w:w="925"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5</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NT80180</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5.100m</w:t>
            </w:r>
          </w:p>
        </w:tc>
        <w:tc>
          <w:tcPr>
            <w:tcW w:w="925"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6</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NT80181</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5.100m</w:t>
            </w:r>
          </w:p>
        </w:tc>
        <w:tc>
          <w:tcPr>
            <w:tcW w:w="925"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7</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NT80182</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4.500m</w:t>
            </w:r>
          </w:p>
        </w:tc>
        <w:tc>
          <w:tcPr>
            <w:tcW w:w="925"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8</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NT80183</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4.500m</w:t>
            </w:r>
          </w:p>
        </w:tc>
        <w:tc>
          <w:tcPr>
            <w:tcW w:w="925"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9</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NT80184</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4.500m</w:t>
            </w:r>
          </w:p>
        </w:tc>
        <w:tc>
          <w:tcPr>
            <w:tcW w:w="925"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4"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ascii="仿宋" w:hAnsi="仿宋" w:eastAsia="仿宋" w:cs="仿宋"/>
                <w:sz w:val="24"/>
                <w:szCs w:val="24"/>
                <w:highlight w:val="none"/>
              </w:rPr>
              <w:t>10</w:t>
            </w:r>
          </w:p>
        </w:tc>
        <w:tc>
          <w:tcPr>
            <w:tcW w:w="2200"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NT80185</w:t>
            </w:r>
          </w:p>
        </w:tc>
        <w:tc>
          <w:tcPr>
            <w:tcW w:w="1388" w:type="dxa"/>
            <w:vAlign w:val="center"/>
          </w:tcPr>
          <w:p>
            <w:pPr>
              <w:adjustRightInd w:val="0"/>
              <w:snapToGrid w:val="0"/>
              <w:spacing w:line="360" w:lineRule="atLeas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adjustRightInd w:val="0"/>
              <w:spacing w:line="360" w:lineRule="auto"/>
              <w:jc w:val="center"/>
              <w:textAlignment w:val="baseline"/>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4.500m</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4"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2200"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NT80186</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4.500m</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4"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2200"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NT80187</w:t>
            </w:r>
          </w:p>
        </w:tc>
        <w:tc>
          <w:tcPr>
            <w:tcW w:w="1388"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门急诊</w:t>
            </w:r>
          </w:p>
        </w:tc>
        <w:tc>
          <w:tcPr>
            <w:tcW w:w="108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30°</w:t>
            </w:r>
          </w:p>
        </w:tc>
        <w:tc>
          <w:tcPr>
            <w:tcW w:w="1213"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0.5m/s</w:t>
            </w:r>
          </w:p>
        </w:tc>
        <w:tc>
          <w:tcPr>
            <w:tcW w:w="1125" w:type="dxa"/>
            <w:vAlign w:val="center"/>
          </w:tcPr>
          <w:p>
            <w:pPr>
              <w:spacing w:line="360" w:lineRule="auto"/>
              <w:jc w:val="center"/>
              <w:rPr>
                <w:rFonts w:ascii="仿宋" w:hAnsi="仿宋" w:eastAsia="仿宋" w:cs="仿宋"/>
                <w:sz w:val="24"/>
                <w:szCs w:val="24"/>
                <w:highlight w:val="none"/>
              </w:rPr>
            </w:pPr>
            <w:r>
              <w:rPr>
                <w:rFonts w:ascii="宋体" w:hAnsi="宋体"/>
                <w:sz w:val="18"/>
                <w:szCs w:val="18"/>
                <w:highlight w:val="none"/>
              </w:rPr>
              <w:t>4.500m</w:t>
            </w:r>
          </w:p>
        </w:tc>
        <w:tc>
          <w:tcPr>
            <w:tcW w:w="925" w:type="dxa"/>
            <w:vAlign w:val="center"/>
          </w:tcPr>
          <w:p>
            <w:pPr>
              <w:adjustRightInd w:val="0"/>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迅达电梯</w:t>
            </w:r>
          </w:p>
        </w:tc>
        <w:tc>
          <w:tcPr>
            <w:tcW w:w="777" w:type="dxa"/>
            <w:vAlign w:val="center"/>
          </w:tcPr>
          <w:p>
            <w:pPr>
              <w:adjustRightInd w:val="0"/>
              <w:snapToGrid w:val="0"/>
              <w:jc w:val="center"/>
              <w:rPr>
                <w:rFonts w:ascii="仿宋" w:hAnsi="仿宋" w:eastAsia="仿宋" w:cs="仿宋"/>
                <w:sz w:val="24"/>
                <w:szCs w:val="24"/>
                <w:highlight w:val="none"/>
              </w:rPr>
            </w:pPr>
            <w:r>
              <w:rPr>
                <w:rFonts w:ascii="仿宋" w:hAnsi="仿宋" w:eastAsia="仿宋" w:cs="仿宋"/>
                <w:sz w:val="24"/>
                <w:szCs w:val="24"/>
                <w:highlight w:val="none"/>
              </w:rPr>
              <w:t>2020</w:t>
            </w:r>
          </w:p>
        </w:tc>
      </w:tr>
    </w:tbl>
    <w:p>
      <w:pPr>
        <w:pStyle w:val="2"/>
        <w:snapToGrid w:val="0"/>
        <w:spacing w:line="360" w:lineRule="auto"/>
        <w:ind w:firstLine="482" w:firstLineChars="200"/>
        <w:jc w:val="left"/>
        <w:rPr>
          <w:rFonts w:ascii="宋体" w:hAnsi="宋体" w:cs="宋体"/>
          <w:b/>
          <w:bCs/>
          <w:kern w:val="0"/>
          <w:sz w:val="24"/>
          <w:szCs w:val="24"/>
          <w:highlight w:val="none"/>
        </w:rPr>
      </w:pPr>
    </w:p>
    <w:p>
      <w:pPr>
        <w:pStyle w:val="2"/>
        <w:snapToGrid w:val="0"/>
        <w:spacing w:line="360" w:lineRule="auto"/>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（三）付款及考核方式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取后付方式，每3个月支付一次，合同期间共支付四次，每次凭正规发票支付合同总金额的25%。招标方每3个月进行一次验收考核，每次付款凭当期考核结果，支付当期的服务费用，招标方最终向投标方结算的维保费金额以实际考核后的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highlight w:val="none"/>
        </w:rPr>
        <w:t>考核表见附件，80分以上（含）为合格，采购人全额计算当期服务费。服务质量考核80分以下，按得分占合格分数（80分）的比例，计算当期服务费。采购人最终向中标单位结算的费用金额以实际考核后的结果为准，并有权追偿中标单位因工作不到位给采购人造成的经济损失及法律责任。合同期服务内，考核结果累计3次不足80分或因中标单位工作不到位给采购人造成严重社会不良影响、重大经济损失或连带法律责任（包括但不限于民事赔偿责任、行政处罚等）的，采购人有权终止合同。</w:t>
      </w:r>
    </w:p>
    <w:tbl>
      <w:tblPr>
        <w:tblStyle w:val="7"/>
        <w:tblW w:w="14220" w:type="dxa"/>
        <w:tblInd w:w="0" w:type="dxa"/>
        <w:tblLayout w:type="fixed"/>
        <w:tblCellMar>
          <w:top w:w="15" w:type="dxa"/>
          <w:left w:w="15" w:type="dxa"/>
          <w:bottom w:w="15" w:type="dxa"/>
          <w:right w:w="15" w:type="dxa"/>
        </w:tblCellMar>
      </w:tblPr>
      <w:tblGrid>
        <w:gridCol w:w="557"/>
        <w:gridCol w:w="2362"/>
        <w:gridCol w:w="2115"/>
        <w:gridCol w:w="1733"/>
        <w:gridCol w:w="1009"/>
        <w:gridCol w:w="1705"/>
        <w:gridCol w:w="3740"/>
        <w:gridCol w:w="999"/>
      </w:tblGrid>
      <w:tr>
        <w:tblPrEx>
          <w:tblCellMar>
            <w:top w:w="15" w:type="dxa"/>
            <w:left w:w="15" w:type="dxa"/>
            <w:bottom w:w="15" w:type="dxa"/>
            <w:right w:w="15" w:type="dxa"/>
          </w:tblCellMar>
        </w:tblPrEx>
        <w:trPr>
          <w:trHeight w:val="622" w:hRule="atLeast"/>
        </w:trPr>
        <w:tc>
          <w:tcPr>
            <w:tcW w:w="14220" w:type="dxa"/>
            <w:gridSpan w:val="8"/>
            <w:vAlign w:val="center"/>
          </w:tcPr>
          <w:p>
            <w:pPr>
              <w:jc w:val="center"/>
              <w:rPr>
                <w:rFonts w:hint="eastAsia" w:ascii="宋体" w:hAnsi="宋体" w:eastAsia="宋体" w:cs="宋体"/>
                <w:color w:val="auto"/>
                <w:sz w:val="24"/>
                <w:szCs w:val="22"/>
                <w:highlight w:val="none"/>
              </w:rPr>
            </w:pPr>
            <w:r>
              <w:rPr>
                <w:rFonts w:hint="eastAsia" w:ascii="宋体" w:hAnsi="宋体" w:eastAsia="宋体" w:cs="宋体"/>
                <w:color w:val="auto"/>
                <w:kern w:val="2"/>
                <w:sz w:val="24"/>
                <w:szCs w:val="22"/>
                <w:highlight w:val="none"/>
              </w:rPr>
              <w:t>天津市滨海新区中医医院电梯安全运行管理服务考核表</w:t>
            </w:r>
          </w:p>
        </w:tc>
      </w:tr>
      <w:tr>
        <w:tblPrEx>
          <w:tblCellMar>
            <w:top w:w="15" w:type="dxa"/>
            <w:left w:w="15" w:type="dxa"/>
            <w:bottom w:w="15" w:type="dxa"/>
            <w:right w:w="15" w:type="dxa"/>
          </w:tblCellMar>
        </w:tblPrEx>
        <w:trPr>
          <w:trHeight w:val="325" w:hRule="atLeast"/>
        </w:trPr>
        <w:tc>
          <w:tcPr>
            <w:tcW w:w="557" w:type="dxa"/>
            <w:vAlign w:val="center"/>
          </w:tcPr>
          <w:p>
            <w:pPr>
              <w:rPr>
                <w:rFonts w:hint="eastAsia" w:ascii="宋体" w:hAnsi="宋体" w:eastAsia="宋体" w:cs="宋体"/>
                <w:color w:val="auto"/>
                <w:sz w:val="24"/>
                <w:highlight w:val="none"/>
              </w:rPr>
            </w:pPr>
          </w:p>
        </w:tc>
        <w:tc>
          <w:tcPr>
            <w:tcW w:w="2362" w:type="dxa"/>
            <w:vAlign w:val="center"/>
          </w:tcPr>
          <w:p>
            <w:pPr>
              <w:jc w:val="center"/>
              <w:rPr>
                <w:rFonts w:hint="eastAsia" w:ascii="宋体" w:hAnsi="宋体" w:eastAsia="宋体" w:cs="宋体"/>
                <w:color w:val="auto"/>
                <w:sz w:val="24"/>
                <w:highlight w:val="none"/>
              </w:rPr>
            </w:pPr>
          </w:p>
        </w:tc>
        <w:tc>
          <w:tcPr>
            <w:tcW w:w="2115" w:type="dxa"/>
            <w:vAlign w:val="center"/>
          </w:tcPr>
          <w:p>
            <w:pPr>
              <w:jc w:val="center"/>
              <w:rPr>
                <w:rFonts w:hint="eastAsia" w:ascii="宋体" w:hAnsi="宋体" w:eastAsia="宋体" w:cs="宋体"/>
                <w:color w:val="auto"/>
                <w:sz w:val="24"/>
                <w:highlight w:val="none"/>
              </w:rPr>
            </w:pPr>
          </w:p>
        </w:tc>
        <w:tc>
          <w:tcPr>
            <w:tcW w:w="1733" w:type="dxa"/>
            <w:vAlign w:val="center"/>
          </w:tcPr>
          <w:p>
            <w:pPr>
              <w:jc w:val="center"/>
              <w:rPr>
                <w:rFonts w:hint="eastAsia" w:ascii="宋体" w:hAnsi="宋体" w:eastAsia="宋体" w:cs="宋体"/>
                <w:color w:val="auto"/>
                <w:sz w:val="24"/>
                <w:highlight w:val="none"/>
              </w:rPr>
            </w:pPr>
          </w:p>
        </w:tc>
        <w:tc>
          <w:tcPr>
            <w:tcW w:w="1009" w:type="dxa"/>
            <w:vAlign w:val="center"/>
          </w:tcPr>
          <w:p>
            <w:pPr>
              <w:jc w:val="center"/>
              <w:rPr>
                <w:rFonts w:hint="eastAsia" w:ascii="宋体" w:hAnsi="宋体" w:eastAsia="宋体" w:cs="宋体"/>
                <w:color w:val="auto"/>
                <w:sz w:val="24"/>
                <w:highlight w:val="none"/>
              </w:rPr>
            </w:pPr>
          </w:p>
        </w:tc>
        <w:tc>
          <w:tcPr>
            <w:tcW w:w="1705" w:type="dxa"/>
            <w:vAlign w:val="center"/>
          </w:tcPr>
          <w:p>
            <w:pPr>
              <w:jc w:val="center"/>
              <w:rPr>
                <w:rFonts w:hint="eastAsia" w:ascii="宋体" w:hAnsi="宋体" w:eastAsia="宋体" w:cs="宋体"/>
                <w:color w:val="auto"/>
                <w:sz w:val="24"/>
                <w:highlight w:val="none"/>
              </w:rPr>
            </w:pPr>
          </w:p>
        </w:tc>
        <w:tc>
          <w:tcPr>
            <w:tcW w:w="3740" w:type="dxa"/>
            <w:vAlign w:val="center"/>
          </w:tcPr>
          <w:p>
            <w:pPr>
              <w:widowControl w:val="0"/>
              <w:jc w:val="center"/>
              <w:textAlignment w:val="auto"/>
              <w:rPr>
                <w:rFonts w:hint="eastAsia" w:ascii="宋体" w:hAnsi="宋体" w:eastAsia="宋体" w:cs="宋体"/>
                <w:color w:val="auto"/>
                <w:sz w:val="24"/>
                <w:highlight w:val="none"/>
              </w:rPr>
            </w:pPr>
          </w:p>
        </w:tc>
        <w:tc>
          <w:tcPr>
            <w:tcW w:w="999" w:type="dxa"/>
            <w:vAlign w:val="center"/>
          </w:tcPr>
          <w:p>
            <w:pPr>
              <w:jc w:val="center"/>
              <w:rPr>
                <w:rFonts w:hint="eastAsia" w:ascii="宋体" w:hAnsi="宋体" w:eastAsia="宋体" w:cs="宋体"/>
                <w:color w:val="auto"/>
                <w:sz w:val="24"/>
                <w:highlight w:val="none"/>
              </w:rPr>
            </w:pPr>
          </w:p>
        </w:tc>
      </w:tr>
      <w:tr>
        <w:tblPrEx>
          <w:tblCellMar>
            <w:top w:w="15" w:type="dxa"/>
            <w:left w:w="15" w:type="dxa"/>
            <w:bottom w:w="15" w:type="dxa"/>
            <w:right w:w="15" w:type="dxa"/>
          </w:tblCellMar>
        </w:tblPrEx>
        <w:trPr>
          <w:trHeight w:val="335" w:hRule="atLeast"/>
        </w:trPr>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highlight w:val="none"/>
              </w:rPr>
            </w:pPr>
            <w:r>
              <w:rPr>
                <w:rFonts w:hint="eastAsia" w:ascii="仿宋" w:hAnsi="仿宋" w:eastAsia="仿宋" w:cs="宋体"/>
                <w:color w:val="000000"/>
                <w:kern w:val="0"/>
                <w:sz w:val="24"/>
                <w:highlight w:val="none"/>
              </w:rPr>
              <w:t>序号</w:t>
            </w:r>
          </w:p>
        </w:tc>
        <w:tc>
          <w:tcPr>
            <w:tcW w:w="621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highlight w:val="none"/>
              </w:rPr>
            </w:pPr>
            <w:r>
              <w:rPr>
                <w:rFonts w:hint="eastAsia" w:ascii="仿宋" w:hAnsi="仿宋" w:eastAsia="仿宋" w:cs="宋体"/>
                <w:color w:val="000000"/>
                <w:kern w:val="0"/>
                <w:sz w:val="24"/>
                <w:highlight w:val="none"/>
              </w:rPr>
              <w:t>扣罚项</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highlight w:val="none"/>
              </w:rPr>
            </w:pPr>
            <w:r>
              <w:rPr>
                <w:rFonts w:hint="eastAsia" w:ascii="仿宋" w:hAnsi="仿宋" w:eastAsia="仿宋" w:cs="宋体"/>
                <w:color w:val="000000"/>
                <w:kern w:val="0"/>
                <w:sz w:val="24"/>
                <w:highlight w:val="none"/>
              </w:rPr>
              <w:t>项目分值</w:t>
            </w:r>
          </w:p>
        </w:tc>
        <w:tc>
          <w:tcPr>
            <w:tcW w:w="64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highlight w:val="none"/>
              </w:rPr>
            </w:pPr>
            <w:r>
              <w:rPr>
                <w:rFonts w:hint="eastAsia" w:ascii="仿宋" w:hAnsi="仿宋" w:eastAsia="仿宋" w:cs="宋体"/>
                <w:color w:val="000000"/>
                <w:kern w:val="0"/>
                <w:sz w:val="24"/>
                <w:highlight w:val="none"/>
              </w:rPr>
              <w:t>扣罚内容确认栏</w:t>
            </w:r>
          </w:p>
        </w:tc>
      </w:tr>
      <w:tr>
        <w:tblPrEx>
          <w:tblCellMar>
            <w:top w:w="15" w:type="dxa"/>
            <w:left w:w="15" w:type="dxa"/>
            <w:bottom w:w="15" w:type="dxa"/>
            <w:right w:w="15" w:type="dxa"/>
          </w:tblCellMar>
        </w:tblPrEx>
        <w:trPr>
          <w:trHeight w:val="335" w:hRule="atLeast"/>
        </w:trPr>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color w:val="000000"/>
                <w:sz w:val="24"/>
                <w:highlight w:val="none"/>
              </w:rPr>
            </w:pPr>
          </w:p>
        </w:tc>
        <w:tc>
          <w:tcPr>
            <w:tcW w:w="621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color w:val="000000"/>
                <w:sz w:val="24"/>
                <w:highlight w:val="none"/>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color w:val="000000"/>
                <w:sz w:val="24"/>
                <w:highlight w:val="none"/>
              </w:rPr>
            </w:pP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highlight w:val="none"/>
              </w:rPr>
            </w:pPr>
            <w:r>
              <w:rPr>
                <w:rFonts w:hint="eastAsia" w:ascii="仿宋" w:hAnsi="仿宋" w:eastAsia="仿宋" w:cs="宋体"/>
                <w:color w:val="000000"/>
                <w:kern w:val="0"/>
                <w:sz w:val="24"/>
                <w:highlight w:val="none"/>
              </w:rPr>
              <w:t>时间地点</w:t>
            </w:r>
          </w:p>
        </w:tc>
        <w:tc>
          <w:tcPr>
            <w:tcW w:w="3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highlight w:val="none"/>
              </w:rPr>
            </w:pPr>
            <w:r>
              <w:rPr>
                <w:rFonts w:hint="eastAsia" w:ascii="仿宋" w:hAnsi="仿宋" w:eastAsia="仿宋" w:cs="宋体"/>
                <w:color w:val="000000"/>
                <w:kern w:val="0"/>
                <w:sz w:val="24"/>
                <w:highlight w:val="none"/>
              </w:rPr>
              <w:t>事项</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highlight w:val="none"/>
              </w:rPr>
            </w:pPr>
            <w:r>
              <w:rPr>
                <w:rFonts w:hint="eastAsia" w:ascii="仿宋" w:hAnsi="仿宋" w:eastAsia="仿宋" w:cs="宋体"/>
                <w:color w:val="000000"/>
                <w:kern w:val="0"/>
                <w:sz w:val="24"/>
                <w:highlight w:val="none"/>
              </w:rPr>
              <w:t>扣分数</w:t>
            </w:r>
          </w:p>
        </w:tc>
      </w:tr>
      <w:tr>
        <w:tblPrEx>
          <w:tblCellMar>
            <w:top w:w="15" w:type="dxa"/>
            <w:left w:w="15" w:type="dxa"/>
            <w:bottom w:w="15" w:type="dxa"/>
            <w:right w:w="15" w:type="dxa"/>
          </w:tblCellMar>
        </w:tblPrEx>
        <w:trPr>
          <w:trHeight w:val="631"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紧急故障处理</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5分钟内到达现场</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超过到达时间每次扣2分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10</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631"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2</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维保工作不规范，对乙方造成影响而受到投诉</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不允许</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每次扣5分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10</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335"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3</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日常保养工作执行</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每月两次</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少一次扣4分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8</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631"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4</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对故障无法查明原因</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普通故障不超过2小时，特殊故障不超过24小时</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超过每次扣3分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12</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631"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5</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sz w:val="20"/>
                <w:szCs w:val="20"/>
                <w:highlight w:val="none"/>
              </w:rPr>
              <w:t>驻场维保人员在岗</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24小时在岗</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发现不在岗每次扣5分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10</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631"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6</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日常工作抽查</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设备施工现场维保记录不合格</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每项每次扣1分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5</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335"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7</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电梯年检</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超过时间办理年检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超过每天扣10分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20</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631"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8</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设备环境维护</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应整洁、美观，按规定进行维护</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每次扣1分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5</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335"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9</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按时提交检修报告</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不超过10天</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超过扣5分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10</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335"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10</w:t>
            </w:r>
          </w:p>
        </w:tc>
        <w:tc>
          <w:tcPr>
            <w:tcW w:w="23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按合同维保服务标准执行</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有未执行项</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20"/>
                <w:szCs w:val="20"/>
                <w:highlight w:val="none"/>
              </w:rPr>
            </w:pPr>
            <w:r>
              <w:rPr>
                <w:rFonts w:hint="eastAsia" w:ascii="仿宋" w:hAnsi="仿宋" w:eastAsia="仿宋" w:cs="宋体"/>
                <w:b/>
                <w:color w:val="000000"/>
                <w:kern w:val="0"/>
                <w:sz w:val="20"/>
                <w:szCs w:val="20"/>
                <w:highlight w:val="none"/>
              </w:rPr>
              <w:t>一项扣2分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10</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335" w:hRule="atLeast"/>
        </w:trPr>
        <w:tc>
          <w:tcPr>
            <w:tcW w:w="29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b/>
                <w:color w:val="000000"/>
                <w:sz w:val="20"/>
                <w:szCs w:val="20"/>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b/>
                <w:color w:val="000000"/>
                <w:sz w:val="20"/>
                <w:szCs w:val="20"/>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100</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c>
          <w:tcPr>
            <w:tcW w:w="37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宋体"/>
                <w:color w:val="000000"/>
                <w:sz w:val="22"/>
                <w:highlight w:val="none"/>
              </w:rPr>
            </w:pPr>
            <w:r>
              <w:rPr>
                <w:rFonts w:hint="eastAsia" w:ascii="仿宋" w:hAnsi="仿宋" w:eastAsia="仿宋" w:cs="宋体"/>
                <w:color w:val="000000"/>
                <w:sz w:val="22"/>
                <w:highlight w:val="none"/>
              </w:rPr>
              <w:t>本季度得分：</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color w:val="000000"/>
                <w:sz w:val="22"/>
                <w:highlight w:val="none"/>
              </w:rPr>
            </w:pPr>
          </w:p>
        </w:tc>
      </w:tr>
      <w:tr>
        <w:tblPrEx>
          <w:tblCellMar>
            <w:top w:w="15" w:type="dxa"/>
            <w:left w:w="15" w:type="dxa"/>
            <w:bottom w:w="15" w:type="dxa"/>
            <w:right w:w="15" w:type="dxa"/>
          </w:tblCellMar>
        </w:tblPrEx>
        <w:trPr>
          <w:trHeight w:val="344" w:hRule="atLeast"/>
        </w:trPr>
        <w:tc>
          <w:tcPr>
            <w:tcW w:w="14220"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宋体"/>
                <w:color w:val="000000"/>
                <w:sz w:val="22"/>
                <w:highlight w:val="none"/>
              </w:rPr>
            </w:pPr>
            <w:r>
              <w:rPr>
                <w:rFonts w:hint="eastAsia" w:ascii="仿宋" w:hAnsi="仿宋" w:eastAsia="仿宋" w:cs="宋体"/>
                <w:color w:val="000000"/>
                <w:kern w:val="0"/>
                <w:sz w:val="22"/>
                <w:highlight w:val="none"/>
              </w:rPr>
              <w:t>备注：每季度考核一次。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B6ECF"/>
    <w:multiLevelType w:val="multilevel"/>
    <w:tmpl w:val="C1CB6ECF"/>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7F3732C3"/>
    <w:rsid w:val="7F37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Calibri" w:hAnsi="Calibri" w:cs="宋体"/>
      <w:b/>
      <w:bCs/>
      <w:kern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 w:type="paragraph" w:styleId="4">
    <w:name w:val="Body Text Indent"/>
    <w:basedOn w:val="1"/>
    <w:next w:val="2"/>
    <w:unhideWhenUsed/>
    <w:qFormat/>
    <w:uiPriority w:val="0"/>
    <w:pPr>
      <w:tabs>
        <w:tab w:val="left" w:pos="480"/>
      </w:tabs>
      <w:spacing w:line="560" w:lineRule="exact"/>
      <w:ind w:firstLine="480" w:firstLineChars="200"/>
      <w:jc w:val="left"/>
    </w:pPr>
    <w:rPr>
      <w:rFonts w:ascii="宋体" w:hAnsi="宋体"/>
      <w:szCs w:val="20"/>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Body Text First Indent 2"/>
    <w:basedOn w:val="4"/>
    <w:next w:val="1"/>
    <w:unhideWhenUsed/>
    <w:qFormat/>
    <w:uiPriority w:val="99"/>
    <w:pPr>
      <w:ind w:firstLine="420" w:firstLineChars="200"/>
    </w:pPr>
    <w:rPr>
      <w:rFonts w:ascii="Calibri" w:hAnsi="Calibr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2023-11-29T01:56:00Z</dcterms:created>
  <dc:creator>WPS_1668754063</dc:creator>
  <cp:lastModifiedBy>WPS_1668754063</cp:lastModifiedBy>
  <dcterms:modified xsi:type="dcterms:W3CDTF">2023-11-29T01:58:19Z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D060B1A9B2E849FFA73E157687ACD895_11</vt:lpwstr>
  </property>
</Properties>
</file>