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C1" w:rsidRPr="008C0A4B" w:rsidRDefault="00953B40">
      <w:pPr>
        <w:spacing w:line="480" w:lineRule="exact"/>
        <w:jc w:val="center"/>
        <w:rPr>
          <w:rFonts w:ascii="方正小标宋简体" w:eastAsia="方正小标宋简体" w:hAnsi="方正小标宋简体" w:cs="方正小标宋简体"/>
          <w:b/>
          <w:bCs/>
          <w:sz w:val="36"/>
          <w:szCs w:val="36"/>
        </w:rPr>
      </w:pPr>
      <w:r w:rsidRPr="008C0A4B">
        <w:rPr>
          <w:rFonts w:ascii="方正小标宋简体" w:eastAsia="方正小标宋简体" w:hAnsi="方正小标宋简体" w:cs="方正小标宋简体" w:hint="eastAsia"/>
          <w:b/>
          <w:bCs/>
          <w:sz w:val="36"/>
          <w:szCs w:val="36"/>
        </w:rPr>
        <w:t>项目需求书</w:t>
      </w:r>
    </w:p>
    <w:p w:rsidR="00A155C1" w:rsidRPr="008C0A4B" w:rsidRDefault="00A155C1">
      <w:pPr>
        <w:autoSpaceDE w:val="0"/>
        <w:autoSpaceDN w:val="0"/>
        <w:adjustRightInd w:val="0"/>
        <w:snapToGrid w:val="0"/>
        <w:spacing w:line="360" w:lineRule="auto"/>
        <w:ind w:firstLineChars="200" w:firstLine="640"/>
        <w:rPr>
          <w:rFonts w:ascii="仿宋" w:eastAsia="仿宋" w:hAnsi="仿宋" w:cs="宋体"/>
          <w:sz w:val="32"/>
          <w:szCs w:val="32"/>
        </w:rPr>
      </w:pPr>
    </w:p>
    <w:p w:rsidR="00A155C1" w:rsidRPr="008C0A4B" w:rsidRDefault="00953B40">
      <w:pPr>
        <w:pStyle w:val="a8"/>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8C0A4B">
        <w:rPr>
          <w:rFonts w:ascii="仿宋" w:eastAsia="仿宋" w:hAnsi="仿宋" w:cs="宋体" w:hint="eastAsia"/>
          <w:bCs/>
          <w:sz w:val="32"/>
          <w:szCs w:val="32"/>
        </w:rPr>
        <w:t>项目情况</w:t>
      </w:r>
    </w:p>
    <w:p w:rsidR="00A155C1" w:rsidRPr="008C0A4B" w:rsidRDefault="00953B40">
      <w:pPr>
        <w:pStyle w:val="a8"/>
        <w:autoSpaceDE w:val="0"/>
        <w:autoSpaceDN w:val="0"/>
        <w:adjustRightInd w:val="0"/>
        <w:snapToGrid w:val="0"/>
        <w:spacing w:line="360" w:lineRule="auto"/>
        <w:ind w:firstLine="640"/>
        <w:rPr>
          <w:rFonts w:ascii="仿宋" w:eastAsia="仿宋" w:hAnsi="仿宋" w:cs="宋体"/>
          <w:bCs/>
          <w:sz w:val="32"/>
          <w:szCs w:val="32"/>
        </w:rPr>
      </w:pPr>
      <w:r w:rsidRPr="008C0A4B">
        <w:rPr>
          <w:rFonts w:ascii="仿宋" w:eastAsia="仿宋" w:hAnsi="仿宋" w:cs="宋体" w:hint="eastAsia"/>
          <w:bCs/>
          <w:sz w:val="32"/>
          <w:szCs w:val="32"/>
        </w:rPr>
        <w:t>本项目为天津市滨海新区中医医院北塘院区变电站维保服务项目。</w:t>
      </w:r>
    </w:p>
    <w:p w:rsidR="00A155C1" w:rsidRPr="008C0A4B" w:rsidRDefault="00953B40">
      <w:pPr>
        <w:pStyle w:val="a8"/>
        <w:autoSpaceDE w:val="0"/>
        <w:autoSpaceDN w:val="0"/>
        <w:adjustRightInd w:val="0"/>
        <w:snapToGrid w:val="0"/>
        <w:spacing w:line="360" w:lineRule="auto"/>
        <w:ind w:firstLine="640"/>
        <w:rPr>
          <w:rFonts w:ascii="仿宋" w:eastAsia="仿宋" w:hAnsi="仿宋" w:cs="宋体"/>
          <w:bCs/>
          <w:sz w:val="32"/>
          <w:szCs w:val="32"/>
        </w:rPr>
      </w:pPr>
      <w:r w:rsidRPr="008C0A4B">
        <w:rPr>
          <w:rFonts w:ascii="仿宋" w:eastAsia="仿宋" w:hAnsi="仿宋" w:cs="宋体" w:hint="eastAsia"/>
          <w:bCs/>
          <w:sz w:val="32"/>
          <w:szCs w:val="32"/>
        </w:rPr>
        <w:t>变电站共有10KV变压器4台，高压柜8台，低压柜82台，1500KVA发电机1台。维保服务包括自10KV进线端（与电力公司的管理分界点）起至低压出线端电缆搭接处范围以内设备的维护保养工作、变电站巡检工作、变电站预防性试验工作、EPS和UPS维护保养工作、发电机定期启动及维护保养工作、应急抢险工作等。</w:t>
      </w:r>
    </w:p>
    <w:p w:rsidR="00A155C1" w:rsidRPr="008C0A4B" w:rsidRDefault="00953B40">
      <w:pPr>
        <w:pStyle w:val="a8"/>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8C0A4B">
        <w:rPr>
          <w:rFonts w:ascii="仿宋" w:eastAsia="仿宋" w:hAnsi="仿宋" w:cs="宋体" w:hint="eastAsia"/>
          <w:bCs/>
          <w:sz w:val="32"/>
          <w:szCs w:val="32"/>
        </w:rPr>
        <w:t>预算要求</w:t>
      </w:r>
    </w:p>
    <w:p w:rsidR="00A155C1" w:rsidRPr="008C0A4B" w:rsidRDefault="00953B40">
      <w:pPr>
        <w:pStyle w:val="a8"/>
        <w:autoSpaceDE w:val="0"/>
        <w:autoSpaceDN w:val="0"/>
        <w:adjustRightInd w:val="0"/>
        <w:snapToGrid w:val="0"/>
        <w:spacing w:line="360" w:lineRule="auto"/>
        <w:ind w:left="420" w:firstLineChars="0" w:firstLine="0"/>
        <w:rPr>
          <w:rFonts w:ascii="仿宋" w:eastAsia="仿宋" w:hAnsi="仿宋" w:cs="宋体"/>
          <w:bCs/>
          <w:sz w:val="32"/>
          <w:szCs w:val="32"/>
        </w:rPr>
      </w:pPr>
      <w:r w:rsidRPr="008C0A4B">
        <w:rPr>
          <w:rFonts w:ascii="仿宋_GB2312" w:eastAsia="仿宋_GB2312" w:hAnsi="仿宋_GB2312" w:cs="仿宋_GB2312" w:hint="eastAsia"/>
          <w:sz w:val="30"/>
          <w:szCs w:val="30"/>
        </w:rPr>
        <w:t>项目预算为16.8万元/年。服务期自合同签订之日起一年。</w:t>
      </w:r>
    </w:p>
    <w:p w:rsidR="00A155C1" w:rsidRPr="008C0A4B" w:rsidRDefault="00953B40">
      <w:pPr>
        <w:pStyle w:val="a8"/>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8C0A4B">
        <w:rPr>
          <w:rFonts w:ascii="仿宋" w:eastAsia="仿宋" w:hAnsi="仿宋" w:cs="宋体" w:hint="eastAsia"/>
          <w:bCs/>
          <w:sz w:val="32"/>
          <w:szCs w:val="32"/>
        </w:rPr>
        <w:t>供应商资格要求</w:t>
      </w:r>
    </w:p>
    <w:p w:rsidR="00A155C1" w:rsidRPr="008C0A4B" w:rsidRDefault="00953B4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具有独立承担民事责任能力的法人或其他组织。须提供证明供应商具有独立承担民事责任能力的相关证件原件或公证书原件。</w:t>
      </w:r>
    </w:p>
    <w:p w:rsidR="00685960" w:rsidRPr="008C0A4B" w:rsidRDefault="00685960"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有依法缴纳税收和社会保障资金的良好记录。供应商须提供2023年至少1个月的依法缴纳税收和社会保险费的相关证明材料扫描件或复印件并加盖公章。</w:t>
      </w:r>
    </w:p>
    <w:p w:rsidR="00685960" w:rsidRPr="008C0A4B" w:rsidRDefault="00685960"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提交响应文件截止日前3年在经营活动中没有重大违法记录的书面声明（截至提交响应文件截止日成立不足3年的供应商可提供自成立以来无重大违法记录的书面声明）</w:t>
      </w:r>
      <w:r w:rsidRPr="008C0A4B">
        <w:rPr>
          <w:rFonts w:ascii="仿宋" w:eastAsia="仿宋" w:hAnsi="仿宋" w:cs="宋体" w:hint="eastAsia"/>
          <w:bCs/>
          <w:sz w:val="32"/>
          <w:szCs w:val="32"/>
        </w:rPr>
        <w:lastRenderedPageBreak/>
        <w:t>并加盖公章。</w:t>
      </w:r>
    </w:p>
    <w:p w:rsidR="00685960" w:rsidRPr="008C0A4B" w:rsidRDefault="00685960"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供应商须由法定代表人或其授权的委托代理人参加投标。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rsidR="00A155C1" w:rsidRPr="008C0A4B" w:rsidRDefault="00953B40"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具有良好的商业信誉和健全的财务会计制度。须提供</w:t>
      </w:r>
      <w:r w:rsidR="002C0945" w:rsidRPr="008C0A4B">
        <w:rPr>
          <w:rFonts w:ascii="仿宋" w:eastAsia="仿宋" w:hAnsi="仿宋" w:cs="宋体" w:hint="eastAsia"/>
          <w:bCs/>
          <w:sz w:val="32"/>
          <w:szCs w:val="32"/>
        </w:rPr>
        <w:t>2022</w:t>
      </w:r>
      <w:commentRangeStart w:id="0"/>
      <w:r w:rsidRPr="008C0A4B">
        <w:rPr>
          <w:rFonts w:ascii="仿宋" w:eastAsia="仿宋" w:hAnsi="仿宋" w:cs="宋体" w:hint="eastAsia"/>
          <w:bCs/>
          <w:sz w:val="32"/>
          <w:szCs w:val="32"/>
        </w:rPr>
        <w:t>年度</w:t>
      </w:r>
      <w:commentRangeEnd w:id="0"/>
      <w:r w:rsidRPr="008C0A4B">
        <w:rPr>
          <w:rFonts w:ascii="仿宋" w:eastAsia="仿宋" w:hAnsi="仿宋" w:cs="宋体"/>
          <w:bCs/>
          <w:sz w:val="32"/>
          <w:szCs w:val="32"/>
        </w:rPr>
        <w:commentReference w:id="0"/>
      </w:r>
      <w:r w:rsidRPr="008C0A4B">
        <w:rPr>
          <w:rFonts w:ascii="仿宋" w:eastAsia="仿宋" w:hAnsi="仿宋" w:cs="宋体" w:hint="eastAsia"/>
          <w:bCs/>
          <w:sz w:val="32"/>
          <w:szCs w:val="32"/>
        </w:rPr>
        <w:t>经第三方会计师事务所审计的企业财务报告或银行出具的资信证明复印件。</w:t>
      </w:r>
      <w:r w:rsidRPr="008C0A4B">
        <w:rPr>
          <w:rFonts w:ascii="仿宋" w:eastAsia="仿宋" w:hAnsi="仿宋" w:cs="宋体"/>
          <w:bCs/>
          <w:sz w:val="32"/>
          <w:szCs w:val="32"/>
        </w:rPr>
        <w:commentReference w:id="1"/>
      </w:r>
    </w:p>
    <w:p w:rsidR="00A155C1" w:rsidRPr="008C0A4B" w:rsidRDefault="002C0945"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投标人须具有国家能源局或国家电力监管委员会颁发的在有效期内的《承装（修、试）电力设施许可证》，许可类别和等级包含承装类四级及以上、承修类四级及以上、承试类四级及以上。</w:t>
      </w:r>
    </w:p>
    <w:p w:rsidR="00A155C1" w:rsidRPr="008C0A4B" w:rsidRDefault="00953B40"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投标人须具备资质：</w:t>
      </w:r>
      <w:commentRangeStart w:id="2"/>
      <w:r w:rsidRPr="008C0A4B">
        <w:rPr>
          <w:rFonts w:ascii="仿宋" w:eastAsia="仿宋" w:hAnsi="仿宋" w:cs="宋体" w:hint="eastAsia"/>
          <w:bCs/>
          <w:sz w:val="32"/>
          <w:szCs w:val="32"/>
        </w:rPr>
        <w:t>输变电工程专业承包</w:t>
      </w:r>
      <w:commentRangeEnd w:id="2"/>
      <w:r w:rsidRPr="008C0A4B">
        <w:rPr>
          <w:rFonts w:ascii="仿宋" w:eastAsia="仿宋" w:hAnsi="仿宋" w:cs="宋体"/>
          <w:bCs/>
          <w:sz w:val="32"/>
          <w:szCs w:val="32"/>
        </w:rPr>
        <w:commentReference w:id="2"/>
      </w:r>
      <w:r w:rsidRPr="008C0A4B">
        <w:rPr>
          <w:rFonts w:ascii="仿宋" w:eastAsia="仿宋" w:hAnsi="仿宋" w:cs="宋体" w:hint="eastAsia"/>
          <w:bCs/>
          <w:sz w:val="32"/>
          <w:szCs w:val="32"/>
        </w:rPr>
        <w:t>三级及以上资质。</w:t>
      </w:r>
    </w:p>
    <w:p w:rsidR="00A155C1" w:rsidRPr="008C0A4B" w:rsidRDefault="00953B40"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投标人须具有在有效期内的</w:t>
      </w:r>
      <w:commentRangeStart w:id="3"/>
      <w:r w:rsidRPr="008C0A4B">
        <w:rPr>
          <w:rFonts w:ascii="仿宋" w:eastAsia="仿宋" w:hAnsi="仿宋" w:cs="宋体" w:hint="eastAsia"/>
          <w:bCs/>
          <w:sz w:val="32"/>
          <w:szCs w:val="32"/>
        </w:rPr>
        <w:t>安全生产许可证</w:t>
      </w:r>
      <w:commentRangeEnd w:id="3"/>
      <w:r w:rsidRPr="008C0A4B">
        <w:rPr>
          <w:rFonts w:ascii="仿宋" w:eastAsia="仿宋" w:hAnsi="仿宋" w:cs="宋体"/>
          <w:bCs/>
          <w:sz w:val="32"/>
          <w:szCs w:val="32"/>
        </w:rPr>
        <w:commentReference w:id="3"/>
      </w:r>
      <w:r w:rsidRPr="008C0A4B">
        <w:rPr>
          <w:rFonts w:ascii="仿宋" w:eastAsia="仿宋" w:hAnsi="仿宋" w:cs="宋体" w:hint="eastAsia"/>
          <w:bCs/>
          <w:sz w:val="32"/>
          <w:szCs w:val="32"/>
        </w:rPr>
        <w:t>。</w:t>
      </w:r>
    </w:p>
    <w:p w:rsidR="00A155C1" w:rsidRPr="008C0A4B" w:rsidRDefault="00953B40" w:rsidP="00685960">
      <w:pPr>
        <w:pStyle w:val="a8"/>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本项目不接受联合体投标，中标后不得分包或转包。</w:t>
      </w:r>
    </w:p>
    <w:p w:rsidR="00A155C1" w:rsidRPr="008C0A4B" w:rsidRDefault="00953B40">
      <w:pPr>
        <w:pStyle w:val="a8"/>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8C0A4B">
        <w:rPr>
          <w:rFonts w:ascii="仿宋" w:eastAsia="仿宋" w:hAnsi="仿宋" w:cs="宋体" w:hint="eastAsia"/>
          <w:bCs/>
          <w:sz w:val="32"/>
          <w:szCs w:val="32"/>
        </w:rPr>
        <w:t>维保服务要求</w:t>
      </w:r>
    </w:p>
    <w:p w:rsidR="00A155C1" w:rsidRPr="008C0A4B" w:rsidRDefault="00953B40">
      <w:pPr>
        <w:spacing w:line="360" w:lineRule="auto"/>
        <w:rPr>
          <w:rFonts w:ascii="仿宋" w:eastAsia="仿宋" w:hAnsi="仿宋" w:cs="宋体"/>
          <w:sz w:val="32"/>
          <w:szCs w:val="32"/>
        </w:rPr>
      </w:pPr>
      <w:bookmarkStart w:id="4" w:name="_Toc20224"/>
      <w:r w:rsidRPr="008C0A4B">
        <w:rPr>
          <w:rFonts w:ascii="仿宋" w:eastAsia="仿宋" w:hAnsi="仿宋" w:cs="宋体" w:hint="eastAsia"/>
          <w:b/>
          <w:bCs/>
          <w:sz w:val="32"/>
          <w:szCs w:val="32"/>
        </w:rPr>
        <w:t>（一）服务要求</w:t>
      </w:r>
    </w:p>
    <w:p w:rsidR="00A155C1" w:rsidRPr="008C0A4B" w:rsidRDefault="001B0CBE">
      <w:pPr>
        <w:pStyle w:val="a8"/>
        <w:numPr>
          <w:ilvl w:val="0"/>
          <w:numId w:val="3"/>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维保</w:t>
      </w:r>
      <w:r w:rsidR="00953B40" w:rsidRPr="008C0A4B">
        <w:rPr>
          <w:rFonts w:ascii="仿宋" w:eastAsia="仿宋" w:hAnsi="仿宋" w:cs="宋体" w:hint="eastAsia"/>
          <w:bCs/>
          <w:sz w:val="32"/>
          <w:szCs w:val="32"/>
        </w:rPr>
        <w:t>服务单位必须具有协助或代表医院与相关主管</w:t>
      </w:r>
      <w:r w:rsidR="00953B40" w:rsidRPr="008C0A4B">
        <w:rPr>
          <w:rFonts w:ascii="仿宋" w:eastAsia="仿宋" w:hAnsi="仿宋" w:cs="宋体" w:hint="eastAsia"/>
          <w:bCs/>
          <w:sz w:val="32"/>
          <w:szCs w:val="32"/>
        </w:rPr>
        <w:lastRenderedPageBreak/>
        <w:t>单位进行突发事件的处理和解决，并协调好各个方面关系能力。</w:t>
      </w:r>
    </w:p>
    <w:p w:rsidR="00A155C1" w:rsidRPr="008C0A4B" w:rsidRDefault="001B0CBE">
      <w:pPr>
        <w:pStyle w:val="a8"/>
        <w:numPr>
          <w:ilvl w:val="0"/>
          <w:numId w:val="3"/>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维保</w:t>
      </w:r>
      <w:r w:rsidR="00953B40" w:rsidRPr="008C0A4B">
        <w:rPr>
          <w:rFonts w:ascii="仿宋" w:eastAsia="仿宋" w:hAnsi="仿宋" w:cs="宋体" w:hint="eastAsia"/>
          <w:bCs/>
          <w:sz w:val="32"/>
          <w:szCs w:val="32"/>
        </w:rPr>
        <w:t>服务单位认真履行</w:t>
      </w:r>
      <w:r w:rsidRPr="008C0A4B">
        <w:rPr>
          <w:rFonts w:ascii="仿宋" w:eastAsia="仿宋" w:hAnsi="仿宋" w:cs="宋体" w:hint="eastAsia"/>
          <w:bCs/>
          <w:sz w:val="32"/>
          <w:szCs w:val="32"/>
        </w:rPr>
        <w:t>维保</w:t>
      </w:r>
      <w:r w:rsidR="00953B40" w:rsidRPr="008C0A4B">
        <w:rPr>
          <w:rFonts w:ascii="仿宋" w:eastAsia="仿宋" w:hAnsi="仿宋" w:cs="宋体" w:hint="eastAsia"/>
          <w:bCs/>
          <w:sz w:val="32"/>
          <w:szCs w:val="32"/>
        </w:rPr>
        <w:t>服务，严格按变电站运行操作等管理规章制度做好定期设备巡视检查、维护、消缺和清扫以及工作场所室内卫生，定期巡检时对站内运行情况做好记录。如遇突发事故，按规程及时处理，确保不发生影响医院安全的事故。按照电力公司及招标人要求的操作章程内容做好停、送电倒闸工作，不影响医院整体电力设备及电力线路运行。</w:t>
      </w:r>
    </w:p>
    <w:p w:rsidR="00A155C1" w:rsidRPr="008C0A4B" w:rsidRDefault="001B0CBE">
      <w:pPr>
        <w:pStyle w:val="a8"/>
        <w:numPr>
          <w:ilvl w:val="0"/>
          <w:numId w:val="3"/>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维保</w:t>
      </w:r>
      <w:r w:rsidR="00953B40" w:rsidRPr="008C0A4B">
        <w:rPr>
          <w:rFonts w:ascii="仿宋" w:eastAsia="仿宋" w:hAnsi="仿宋" w:cs="宋体" w:hint="eastAsia"/>
          <w:bCs/>
          <w:sz w:val="32"/>
          <w:szCs w:val="32"/>
        </w:rPr>
        <w:t>服务单位必须服从并积极配合招标人的日常管理以及完成相关单位的各类检查满足国家、天津市现行规范、规定及标准。根据电网电压及负荷情况随时调整，保证供电电压质量在合格范围。当达不到招标人要求及投标时各项服务承诺，招标人有权要求其整改，直至扣款或终止合同。</w:t>
      </w:r>
    </w:p>
    <w:p w:rsidR="00A155C1" w:rsidRPr="008C0A4B" w:rsidRDefault="00953B40">
      <w:pPr>
        <w:spacing w:line="360" w:lineRule="auto"/>
        <w:rPr>
          <w:rFonts w:ascii="仿宋" w:eastAsia="仿宋" w:hAnsi="仿宋" w:cs="宋体"/>
          <w:b/>
          <w:bCs/>
          <w:sz w:val="32"/>
          <w:szCs w:val="32"/>
        </w:rPr>
      </w:pPr>
      <w:r w:rsidRPr="008C0A4B">
        <w:rPr>
          <w:rFonts w:ascii="仿宋" w:eastAsia="仿宋" w:hAnsi="仿宋" w:cs="宋体" w:hint="eastAsia"/>
          <w:b/>
          <w:bCs/>
          <w:sz w:val="32"/>
          <w:szCs w:val="32"/>
        </w:rPr>
        <w:t>（二）人员要求</w:t>
      </w:r>
    </w:p>
    <w:tbl>
      <w:tblPr>
        <w:tblW w:w="87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37"/>
        <w:gridCol w:w="957"/>
        <w:gridCol w:w="828"/>
        <w:gridCol w:w="4794"/>
        <w:gridCol w:w="1421"/>
      </w:tblGrid>
      <w:tr w:rsidR="00A155C1" w:rsidRPr="008C0A4B" w:rsidTr="002E4A75">
        <w:trPr>
          <w:trHeight w:val="621"/>
        </w:trPr>
        <w:tc>
          <w:tcPr>
            <w:tcW w:w="737" w:type="dxa"/>
            <w:noWrap/>
          </w:tcPr>
          <w:p w:rsidR="00A155C1" w:rsidRPr="008C0A4B" w:rsidRDefault="00953B40">
            <w:pPr>
              <w:jc w:val="center"/>
              <w:rPr>
                <w:rFonts w:ascii="仿宋" w:eastAsia="仿宋" w:hAnsi="仿宋"/>
                <w:sz w:val="32"/>
                <w:szCs w:val="32"/>
              </w:rPr>
            </w:pPr>
            <w:r w:rsidRPr="008C0A4B">
              <w:rPr>
                <w:rFonts w:ascii="仿宋" w:eastAsia="仿宋" w:hAnsi="仿宋" w:hint="eastAsia"/>
                <w:sz w:val="32"/>
                <w:szCs w:val="32"/>
              </w:rPr>
              <w:t>序号</w:t>
            </w:r>
          </w:p>
        </w:tc>
        <w:tc>
          <w:tcPr>
            <w:tcW w:w="957" w:type="dxa"/>
            <w:noWrap/>
          </w:tcPr>
          <w:p w:rsidR="00A155C1" w:rsidRPr="008C0A4B" w:rsidRDefault="00953B40">
            <w:pPr>
              <w:jc w:val="center"/>
              <w:rPr>
                <w:rFonts w:ascii="仿宋" w:eastAsia="仿宋" w:hAnsi="仿宋"/>
                <w:sz w:val="32"/>
                <w:szCs w:val="32"/>
              </w:rPr>
            </w:pPr>
            <w:r w:rsidRPr="008C0A4B">
              <w:rPr>
                <w:rFonts w:ascii="仿宋" w:eastAsia="仿宋" w:hAnsi="仿宋" w:hint="eastAsia"/>
                <w:sz w:val="32"/>
                <w:szCs w:val="32"/>
              </w:rPr>
              <w:t>岗位名称</w:t>
            </w:r>
          </w:p>
        </w:tc>
        <w:tc>
          <w:tcPr>
            <w:tcW w:w="828" w:type="dxa"/>
            <w:noWrap/>
          </w:tcPr>
          <w:p w:rsidR="00A155C1" w:rsidRPr="008C0A4B" w:rsidRDefault="00953B40">
            <w:pPr>
              <w:jc w:val="center"/>
              <w:rPr>
                <w:rFonts w:ascii="仿宋" w:eastAsia="仿宋" w:hAnsi="仿宋"/>
                <w:sz w:val="32"/>
                <w:szCs w:val="32"/>
              </w:rPr>
            </w:pPr>
            <w:r w:rsidRPr="008C0A4B">
              <w:rPr>
                <w:rFonts w:ascii="仿宋" w:eastAsia="仿宋" w:hAnsi="仿宋" w:hint="eastAsia"/>
                <w:sz w:val="32"/>
                <w:szCs w:val="32"/>
              </w:rPr>
              <w:t>人数</w:t>
            </w:r>
          </w:p>
        </w:tc>
        <w:tc>
          <w:tcPr>
            <w:tcW w:w="4794" w:type="dxa"/>
            <w:noWrap/>
          </w:tcPr>
          <w:p w:rsidR="00A155C1" w:rsidRPr="008C0A4B" w:rsidRDefault="00953B40">
            <w:pPr>
              <w:jc w:val="center"/>
              <w:rPr>
                <w:rFonts w:ascii="仿宋" w:eastAsia="仿宋" w:hAnsi="仿宋"/>
                <w:sz w:val="32"/>
                <w:szCs w:val="32"/>
              </w:rPr>
            </w:pPr>
            <w:r w:rsidRPr="008C0A4B">
              <w:rPr>
                <w:rFonts w:ascii="仿宋" w:eastAsia="仿宋" w:hAnsi="仿宋" w:hint="eastAsia"/>
                <w:sz w:val="32"/>
                <w:szCs w:val="32"/>
              </w:rPr>
              <w:t>要求</w:t>
            </w:r>
          </w:p>
        </w:tc>
        <w:tc>
          <w:tcPr>
            <w:tcW w:w="1421" w:type="dxa"/>
            <w:noWrap/>
          </w:tcPr>
          <w:p w:rsidR="00A155C1" w:rsidRPr="008C0A4B" w:rsidRDefault="00953B40">
            <w:pPr>
              <w:jc w:val="center"/>
              <w:rPr>
                <w:rFonts w:ascii="仿宋" w:eastAsia="仿宋" w:hAnsi="仿宋"/>
                <w:sz w:val="32"/>
                <w:szCs w:val="32"/>
              </w:rPr>
            </w:pPr>
            <w:r w:rsidRPr="008C0A4B">
              <w:rPr>
                <w:rFonts w:ascii="仿宋" w:eastAsia="仿宋" w:hAnsi="仿宋" w:hint="eastAsia"/>
                <w:sz w:val="32"/>
                <w:szCs w:val="32"/>
              </w:rPr>
              <w:t>是否接受</w:t>
            </w:r>
          </w:p>
          <w:p w:rsidR="00A155C1" w:rsidRPr="008C0A4B" w:rsidRDefault="00953B40">
            <w:pPr>
              <w:jc w:val="center"/>
              <w:rPr>
                <w:rFonts w:ascii="仿宋" w:eastAsia="仿宋" w:hAnsi="仿宋"/>
                <w:sz w:val="32"/>
                <w:szCs w:val="32"/>
              </w:rPr>
            </w:pPr>
            <w:r w:rsidRPr="008C0A4B">
              <w:rPr>
                <w:rFonts w:ascii="仿宋" w:eastAsia="仿宋" w:hAnsi="仿宋" w:hint="eastAsia"/>
                <w:sz w:val="32"/>
                <w:szCs w:val="32"/>
              </w:rPr>
              <w:t>退休人员</w:t>
            </w:r>
          </w:p>
        </w:tc>
      </w:tr>
      <w:tr w:rsidR="00A155C1" w:rsidRPr="008C0A4B" w:rsidTr="008C0A4B">
        <w:trPr>
          <w:trHeight w:val="1125"/>
        </w:trPr>
        <w:tc>
          <w:tcPr>
            <w:tcW w:w="737" w:type="dxa"/>
            <w:noWrap/>
          </w:tcPr>
          <w:p w:rsidR="00A155C1" w:rsidRPr="008C0A4B" w:rsidRDefault="00953B40">
            <w:pPr>
              <w:spacing w:line="360" w:lineRule="auto"/>
              <w:jc w:val="center"/>
              <w:rPr>
                <w:rFonts w:ascii="仿宋" w:eastAsia="仿宋" w:hAnsi="仿宋"/>
                <w:sz w:val="32"/>
                <w:szCs w:val="32"/>
              </w:rPr>
            </w:pPr>
            <w:r w:rsidRPr="008C0A4B">
              <w:rPr>
                <w:rFonts w:ascii="仿宋" w:eastAsia="仿宋" w:hAnsi="仿宋" w:hint="eastAsia"/>
                <w:sz w:val="32"/>
                <w:szCs w:val="32"/>
              </w:rPr>
              <w:t>1</w:t>
            </w:r>
          </w:p>
        </w:tc>
        <w:tc>
          <w:tcPr>
            <w:tcW w:w="957" w:type="dxa"/>
            <w:noWrap/>
          </w:tcPr>
          <w:p w:rsidR="00A155C1" w:rsidRPr="008C0A4B" w:rsidRDefault="00953B40">
            <w:pPr>
              <w:spacing w:line="360" w:lineRule="auto"/>
              <w:jc w:val="center"/>
              <w:rPr>
                <w:rFonts w:ascii="仿宋" w:eastAsia="仿宋" w:hAnsi="仿宋"/>
                <w:sz w:val="32"/>
                <w:szCs w:val="32"/>
              </w:rPr>
            </w:pPr>
            <w:r w:rsidRPr="008C0A4B">
              <w:rPr>
                <w:rFonts w:ascii="仿宋" w:eastAsia="仿宋" w:hAnsi="仿宋" w:hint="eastAsia"/>
                <w:sz w:val="32"/>
                <w:szCs w:val="32"/>
              </w:rPr>
              <w:t>巡检人员</w:t>
            </w:r>
          </w:p>
        </w:tc>
        <w:tc>
          <w:tcPr>
            <w:tcW w:w="828" w:type="dxa"/>
            <w:noWrap/>
          </w:tcPr>
          <w:p w:rsidR="00A155C1" w:rsidRPr="008C0A4B" w:rsidRDefault="00953B40">
            <w:pPr>
              <w:spacing w:line="360" w:lineRule="auto"/>
              <w:jc w:val="center"/>
              <w:rPr>
                <w:rFonts w:ascii="仿宋" w:eastAsia="仿宋" w:hAnsi="仿宋"/>
                <w:sz w:val="32"/>
                <w:szCs w:val="32"/>
              </w:rPr>
            </w:pPr>
            <w:r w:rsidRPr="008C0A4B">
              <w:rPr>
                <w:rFonts w:ascii="仿宋" w:eastAsia="仿宋" w:hAnsi="仿宋" w:hint="eastAsia"/>
                <w:sz w:val="32"/>
                <w:szCs w:val="32"/>
              </w:rPr>
              <w:t>4</w:t>
            </w:r>
          </w:p>
        </w:tc>
        <w:tc>
          <w:tcPr>
            <w:tcW w:w="4794" w:type="dxa"/>
            <w:noWrap/>
          </w:tcPr>
          <w:p w:rsidR="00A155C1" w:rsidRPr="008C0A4B" w:rsidRDefault="00953B40" w:rsidP="002E4A75">
            <w:pPr>
              <w:spacing w:line="360" w:lineRule="auto"/>
              <w:jc w:val="center"/>
              <w:rPr>
                <w:rFonts w:ascii="仿宋" w:eastAsia="仿宋" w:hAnsi="仿宋"/>
                <w:sz w:val="32"/>
                <w:szCs w:val="32"/>
              </w:rPr>
            </w:pPr>
            <w:commentRangeStart w:id="5"/>
            <w:r w:rsidRPr="008C0A4B">
              <w:rPr>
                <w:rFonts w:ascii="仿宋" w:eastAsia="仿宋" w:hAnsi="仿宋" w:hint="eastAsia"/>
                <w:sz w:val="32"/>
                <w:szCs w:val="32"/>
              </w:rPr>
              <w:t>定期巡检人员</w:t>
            </w:r>
            <w:r w:rsidRPr="008C0A4B">
              <w:commentReference w:id="6"/>
            </w:r>
            <w:r w:rsidRPr="008C0A4B">
              <w:rPr>
                <w:rFonts w:ascii="仿宋" w:eastAsia="仿宋" w:hAnsi="仿宋" w:hint="eastAsia"/>
                <w:sz w:val="32"/>
                <w:szCs w:val="32"/>
              </w:rPr>
              <w:t>必须持有</w:t>
            </w:r>
            <w:r w:rsidR="00542794" w:rsidRPr="008C0A4B">
              <w:rPr>
                <w:rFonts w:ascii="仿宋" w:eastAsia="仿宋" w:hAnsi="仿宋" w:hint="eastAsia"/>
                <w:sz w:val="32"/>
                <w:szCs w:val="32"/>
              </w:rPr>
              <w:t>《中华人民共和国特种作业操作证（高压电工作业）》、</w:t>
            </w:r>
            <w:r w:rsidR="002E4A75" w:rsidRPr="008C0A4B">
              <w:rPr>
                <w:rFonts w:ascii="仿宋" w:eastAsia="仿宋" w:hAnsi="仿宋" w:hint="eastAsia"/>
                <w:sz w:val="32"/>
                <w:szCs w:val="32"/>
              </w:rPr>
              <w:t>《中华人民共和国特种作业操作证（低压电工作业）》</w:t>
            </w:r>
            <w:commentRangeEnd w:id="5"/>
            <w:r w:rsidRPr="008C0A4B">
              <w:commentReference w:id="5"/>
            </w:r>
            <w:r w:rsidR="008C0A4B" w:rsidRPr="008C0A4B">
              <w:rPr>
                <w:rFonts w:ascii="仿宋" w:eastAsia="仿宋" w:hAnsi="仿宋" w:hint="eastAsia"/>
                <w:sz w:val="32"/>
                <w:szCs w:val="32"/>
              </w:rPr>
              <w:t>并加盖公章</w:t>
            </w:r>
            <w:r w:rsidRPr="008C0A4B">
              <w:rPr>
                <w:rFonts w:ascii="仿宋" w:eastAsia="仿宋" w:hAnsi="仿宋" w:hint="eastAsia"/>
                <w:sz w:val="32"/>
                <w:szCs w:val="32"/>
              </w:rPr>
              <w:t>。</w:t>
            </w:r>
          </w:p>
        </w:tc>
        <w:tc>
          <w:tcPr>
            <w:tcW w:w="1421" w:type="dxa"/>
            <w:noWrap/>
          </w:tcPr>
          <w:p w:rsidR="00A155C1" w:rsidRPr="008C0A4B" w:rsidRDefault="00953B40">
            <w:pPr>
              <w:spacing w:line="360" w:lineRule="auto"/>
              <w:jc w:val="center"/>
              <w:rPr>
                <w:rFonts w:ascii="仿宋" w:eastAsia="仿宋" w:hAnsi="仿宋"/>
                <w:sz w:val="32"/>
                <w:szCs w:val="32"/>
              </w:rPr>
            </w:pPr>
            <w:r w:rsidRPr="008C0A4B">
              <w:rPr>
                <w:rFonts w:ascii="仿宋" w:eastAsia="仿宋" w:hAnsi="仿宋" w:hint="eastAsia"/>
                <w:sz w:val="32"/>
                <w:szCs w:val="32"/>
              </w:rPr>
              <w:t>不接受</w:t>
            </w:r>
          </w:p>
        </w:tc>
      </w:tr>
    </w:tbl>
    <w:p w:rsidR="00A155C1" w:rsidRPr="008C0A4B" w:rsidRDefault="00953B40">
      <w:pPr>
        <w:spacing w:line="360" w:lineRule="auto"/>
        <w:rPr>
          <w:rFonts w:ascii="仿宋" w:eastAsia="仿宋" w:hAnsi="仿宋" w:cs="宋体"/>
          <w:b/>
          <w:bCs/>
          <w:sz w:val="32"/>
          <w:szCs w:val="32"/>
        </w:rPr>
      </w:pPr>
      <w:r w:rsidRPr="008C0A4B">
        <w:rPr>
          <w:rFonts w:ascii="仿宋" w:eastAsia="仿宋" w:hAnsi="仿宋" w:cs="宋体" w:hint="eastAsia"/>
          <w:b/>
          <w:bCs/>
          <w:sz w:val="32"/>
          <w:szCs w:val="32"/>
        </w:rPr>
        <w:lastRenderedPageBreak/>
        <w:t>（三）工作要求</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commentRangeStart w:id="7"/>
      <w:r w:rsidRPr="008C0A4B">
        <w:rPr>
          <w:rFonts w:ascii="仿宋" w:eastAsia="仿宋" w:hAnsi="仿宋" w:cs="宋体" w:hint="eastAsia"/>
          <w:bCs/>
          <w:sz w:val="32"/>
          <w:szCs w:val="32"/>
        </w:rPr>
        <w:t>定期</w:t>
      </w:r>
      <w:commentRangeEnd w:id="7"/>
      <w:r w:rsidRPr="008C0A4B">
        <w:commentReference w:id="7"/>
      </w:r>
      <w:r w:rsidRPr="008C0A4B">
        <w:rPr>
          <w:rFonts w:ascii="仿宋" w:eastAsia="仿宋" w:hAnsi="仿宋" w:cs="宋体" w:hint="eastAsia"/>
          <w:bCs/>
          <w:sz w:val="32"/>
          <w:szCs w:val="32"/>
        </w:rPr>
        <w:t>巡检：维保服务单位每月</w:t>
      </w:r>
      <w:r w:rsidR="00186633" w:rsidRPr="008C0A4B">
        <w:rPr>
          <w:rFonts w:ascii="仿宋" w:eastAsia="仿宋" w:hAnsi="仿宋" w:cs="宋体" w:hint="eastAsia"/>
          <w:bCs/>
          <w:sz w:val="32"/>
          <w:szCs w:val="32"/>
        </w:rPr>
        <w:t>一次</w:t>
      </w:r>
      <w:r w:rsidRPr="008C0A4B">
        <w:rPr>
          <w:rFonts w:ascii="仿宋" w:eastAsia="仿宋" w:hAnsi="仿宋" w:cs="宋体" w:hint="eastAsia"/>
          <w:bCs/>
          <w:sz w:val="32"/>
          <w:szCs w:val="32"/>
        </w:rPr>
        <w:t>需派出</w:t>
      </w:r>
      <w:r w:rsidR="00C17BD0" w:rsidRPr="008C0A4B">
        <w:rPr>
          <w:rFonts w:ascii="仿宋" w:eastAsia="仿宋" w:hAnsi="仿宋" w:cs="宋体" w:hint="eastAsia"/>
          <w:bCs/>
          <w:sz w:val="32"/>
          <w:szCs w:val="32"/>
        </w:rPr>
        <w:t>4</w:t>
      </w:r>
      <w:r w:rsidRPr="008C0A4B">
        <w:rPr>
          <w:rFonts w:ascii="仿宋" w:eastAsia="仿宋" w:hAnsi="仿宋" w:cs="宋体" w:hint="eastAsia"/>
          <w:bCs/>
          <w:sz w:val="32"/>
          <w:szCs w:val="32"/>
        </w:rPr>
        <w:t>人对各站内高低压变配电设备进行巡视、维护、清扫（保持电缆沟干燥）；巡视项目包括设备负载、温度、噪音、线路等，同时提供巡检报告及资料影像。</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EPS、UPS维护：定期对电池进行冲放电维护保养、维修工作，确保全院EPS、UPS正常运行。</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按行业规定进行变电站预防性试验，以及其他本行业要求的检查检测的全程业务办理及费用，并出具试验报告。</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发电机保养：按照行业规定要求，对固定式油机常规保养（三油、三滤、蓄电池、防冻液及其他保养规范要求的零配件更换）及日常巡视。每3个月对发电机电池进行充放电检测，确保正常运行。按照行业规范要求，每半个月对发电机进行一次启动，柴油由医院提供。不间断巡检、抄送各种报表、严格监控调整保护、直流监控、电压、电容补偿、电流峰值。安全、高效地利用好变电站所具有的设备优势，使其无功损耗降到最低点。</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清扫工作：按照维护保养周期要求对各站内高低压变配电设备进行巡视、维护、清扫（保持电缆沟干燥）、试验（每年进行一次由中标单位提供预防性试验检测报告），进行故障处理，确保不发生用电中断，并做好巡视、维护、故障等相关记录。</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lastRenderedPageBreak/>
        <w:t>安全工器具检测：每半年应按照相应的标准要求进行一次仪器仪表、安全工具器具检测。并张贴试验合格标志。</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制定应急事件预案，严格执行运行情况报告制度，及时上报事故、运行情况，发生事故应迅速组织应急抢修工作。汛期、雷雨天气中标方增派检修人员到现场，保障供电可靠性。</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应急抢险工作：负责对变电站设备事故抢修。负责对配电室变压器、高压柜、接地地阻、电力电缆、继电保护、避雷器(避雷系统)等工作保障。</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在设备设施运行维护及检修过程中，如需更换配件，投标方免费提供单件次价值500元（含）及以下设备及维修更换工作，不再另外收取任何费用；如需更换配件单件次价值在500元以上的，更换的配件由招标方提供或按照相关规定单独进行采购。</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要建立和保管变电站相关技术资料和原始记录台帐，定期整理，保持资料的完整性及准确性。</w:t>
      </w:r>
    </w:p>
    <w:p w:rsidR="00A155C1" w:rsidRPr="008C0A4B" w:rsidRDefault="00953B40">
      <w:pPr>
        <w:pStyle w:val="a8"/>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8C0A4B">
        <w:rPr>
          <w:rFonts w:ascii="仿宋" w:eastAsia="仿宋" w:hAnsi="仿宋" w:cs="宋体" w:hint="eastAsia"/>
          <w:bCs/>
          <w:sz w:val="32"/>
          <w:szCs w:val="32"/>
        </w:rPr>
        <w:t>严格遵守医院安全生产的相关制度要求，接受院方监管，配合院方做好其它相关工作。</w:t>
      </w:r>
    </w:p>
    <w:p w:rsidR="00A155C1" w:rsidRPr="008C0A4B" w:rsidRDefault="00953B40">
      <w:pPr>
        <w:pStyle w:val="a8"/>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8C0A4B">
        <w:rPr>
          <w:rFonts w:ascii="仿宋" w:eastAsia="仿宋" w:hAnsi="仿宋" w:cs="宋体" w:hint="eastAsia"/>
          <w:bCs/>
          <w:sz w:val="32"/>
          <w:szCs w:val="32"/>
        </w:rPr>
        <w:t>付款</w:t>
      </w:r>
      <w:r w:rsidR="001B0CBE" w:rsidRPr="008C0A4B">
        <w:rPr>
          <w:rFonts w:ascii="仿宋" w:eastAsia="仿宋" w:hAnsi="仿宋" w:cs="宋体" w:hint="eastAsia"/>
          <w:bCs/>
          <w:sz w:val="32"/>
          <w:szCs w:val="32"/>
        </w:rPr>
        <w:t>及考核</w:t>
      </w:r>
      <w:r w:rsidRPr="008C0A4B">
        <w:rPr>
          <w:rFonts w:ascii="仿宋" w:eastAsia="仿宋" w:hAnsi="仿宋" w:cs="宋体" w:hint="eastAsia"/>
          <w:bCs/>
          <w:sz w:val="32"/>
          <w:szCs w:val="32"/>
        </w:rPr>
        <w:t>方式</w:t>
      </w:r>
      <w:bookmarkStart w:id="8" w:name="_GoBack"/>
      <w:bookmarkEnd w:id="8"/>
    </w:p>
    <w:p w:rsidR="00A155C1" w:rsidRPr="008C0A4B" w:rsidRDefault="00953B40">
      <w:pPr>
        <w:ind w:firstLineChars="200" w:firstLine="600"/>
        <w:rPr>
          <w:rFonts w:ascii="仿宋_GB2312" w:eastAsia="仿宋_GB2312"/>
          <w:sz w:val="30"/>
          <w:szCs w:val="30"/>
        </w:rPr>
      </w:pPr>
      <w:r w:rsidRPr="008C0A4B">
        <w:rPr>
          <w:rFonts w:ascii="仿宋_GB2312" w:eastAsia="仿宋_GB2312" w:hint="eastAsia"/>
          <w:sz w:val="30"/>
          <w:szCs w:val="30"/>
        </w:rPr>
        <w:t>采取后付方式，每3个月支付一次，合同期间共支付四次，每次凭正规发票支付合同总金额的25%。招标方每3个月进行一次验收考核，每次付款凭当期考核结果，支付当期的服务费用，</w:t>
      </w:r>
      <w:r w:rsidRPr="008C0A4B">
        <w:rPr>
          <w:rFonts w:ascii="仿宋_GB2312" w:eastAsia="仿宋_GB2312" w:hint="eastAsia"/>
          <w:sz w:val="30"/>
          <w:szCs w:val="30"/>
        </w:rPr>
        <w:lastRenderedPageBreak/>
        <w:t>招标方最终向投标方结算的维保费金额以实际考核后的结果为准。</w:t>
      </w:r>
      <w:r w:rsidRPr="008C0A4B">
        <w:commentReference w:id="9"/>
      </w:r>
    </w:p>
    <w:bookmarkEnd w:id="4"/>
    <w:p w:rsidR="001B0CBE" w:rsidRPr="008C0A4B" w:rsidRDefault="001B0CBE" w:rsidP="001B0CBE">
      <w:pPr>
        <w:ind w:firstLineChars="200" w:firstLine="600"/>
        <w:rPr>
          <w:rFonts w:ascii="仿宋_GB2312" w:eastAsia="仿宋_GB2312"/>
          <w:sz w:val="30"/>
          <w:szCs w:val="30"/>
        </w:rPr>
        <w:sectPr w:rsidR="001B0CBE" w:rsidRPr="008C0A4B" w:rsidSect="00A155C1">
          <w:pgSz w:w="11906" w:h="16838"/>
          <w:pgMar w:top="1440" w:right="1800" w:bottom="1440" w:left="1800" w:header="851" w:footer="992" w:gutter="0"/>
          <w:cols w:space="425"/>
          <w:docGrid w:type="lines" w:linePitch="312"/>
        </w:sectPr>
      </w:pPr>
      <w:r w:rsidRPr="008C0A4B">
        <w:rPr>
          <w:rFonts w:ascii="仿宋_GB2312" w:eastAsia="仿宋_GB2312" w:hint="eastAsia"/>
          <w:sz w:val="30"/>
          <w:szCs w:val="30"/>
        </w:rPr>
        <w:t>考核表见附件，80分以上（含）为合格，采购人全额计算当期服务费。服务质量考核80分以下，按得分占合格分数（80分）的比例，计算当期服务费。采购人最终向中标单位结算的费用金额以实际考核后的结果为准，并有权追偿中标单位因工作不到位给采购人造成的经济损失及法律责任。合同期服务内，考核结果累计3次不足80分或因中标单位工作不到位给采购人造成严重社会不良影响、重大经济损失或连带法律责任（包括但不限于民事赔偿责任、行政处罚等）的，采购人有权终止合同。</w:t>
      </w:r>
    </w:p>
    <w:tbl>
      <w:tblPr>
        <w:tblW w:w="0" w:type="auto"/>
        <w:tblLayout w:type="fixed"/>
        <w:tblCellMar>
          <w:left w:w="0" w:type="dxa"/>
          <w:right w:w="0" w:type="dxa"/>
        </w:tblCellMar>
        <w:tblLook w:val="0000"/>
      </w:tblPr>
      <w:tblGrid>
        <w:gridCol w:w="470"/>
        <w:gridCol w:w="2830"/>
        <w:gridCol w:w="1740"/>
        <w:gridCol w:w="2730"/>
        <w:gridCol w:w="930"/>
        <w:gridCol w:w="2220"/>
        <w:gridCol w:w="2550"/>
        <w:gridCol w:w="1080"/>
      </w:tblGrid>
      <w:tr w:rsidR="001B0CBE" w:rsidRPr="008C0A4B" w:rsidTr="00794547">
        <w:trPr>
          <w:trHeight w:val="300"/>
        </w:trPr>
        <w:tc>
          <w:tcPr>
            <w:tcW w:w="470" w:type="dxa"/>
            <w:tcBorders>
              <w:top w:val="nil"/>
              <w:left w:val="nil"/>
              <w:bottom w:val="nil"/>
              <w:right w:val="nil"/>
            </w:tcBorders>
            <w:noWrap/>
            <w:tcMar>
              <w:top w:w="15" w:type="dxa"/>
              <w:left w:w="15" w:type="dxa"/>
              <w:right w:w="15" w:type="dxa"/>
            </w:tcMar>
            <w:vAlign w:val="center"/>
          </w:tcPr>
          <w:p w:rsidR="001B0CBE" w:rsidRPr="008C0A4B" w:rsidRDefault="001B0CBE" w:rsidP="00794547">
            <w:pPr>
              <w:jc w:val="left"/>
              <w:rPr>
                <w:rFonts w:ascii="仿宋_GB2312" w:eastAsia="仿宋_GB2312" w:hAnsi="仿宋_GB2312" w:cs="仿宋_GB2312"/>
                <w:sz w:val="22"/>
                <w:szCs w:val="22"/>
              </w:rPr>
            </w:pPr>
          </w:p>
        </w:tc>
        <w:tc>
          <w:tcPr>
            <w:tcW w:w="14080" w:type="dxa"/>
            <w:gridSpan w:val="7"/>
            <w:tcBorders>
              <w:top w:val="nil"/>
              <w:left w:val="nil"/>
              <w:bottom w:val="nil"/>
              <w:right w:val="nil"/>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32"/>
                <w:szCs w:val="32"/>
              </w:rPr>
            </w:pPr>
            <w:r w:rsidRPr="008C0A4B">
              <w:rPr>
                <w:rFonts w:ascii="仿宋_GB2312" w:eastAsia="仿宋_GB2312" w:hAnsi="仿宋_GB2312" w:cs="仿宋_GB2312" w:hint="eastAsia"/>
                <w:kern w:val="0"/>
                <w:sz w:val="32"/>
                <w:szCs w:val="32"/>
              </w:rPr>
              <w:t>天津市滨海新区中医医院变电站安全运行管理服务考核表</w:t>
            </w:r>
          </w:p>
        </w:tc>
      </w:tr>
      <w:tr w:rsidR="001B0CBE" w:rsidRPr="008C0A4B" w:rsidTr="00794547">
        <w:trPr>
          <w:trHeight w:val="220"/>
        </w:trPr>
        <w:tc>
          <w:tcPr>
            <w:tcW w:w="470" w:type="dxa"/>
            <w:tcBorders>
              <w:top w:val="nil"/>
              <w:left w:val="nil"/>
              <w:bottom w:val="nil"/>
              <w:right w:val="nil"/>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2"/>
                <w:szCs w:val="22"/>
              </w:rPr>
            </w:pPr>
          </w:p>
        </w:tc>
        <w:tc>
          <w:tcPr>
            <w:tcW w:w="2830" w:type="dxa"/>
            <w:tcBorders>
              <w:top w:val="nil"/>
              <w:left w:val="nil"/>
              <w:bottom w:val="nil"/>
              <w:right w:val="nil"/>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740" w:type="dxa"/>
            <w:tcBorders>
              <w:top w:val="nil"/>
              <w:left w:val="nil"/>
              <w:bottom w:val="nil"/>
              <w:right w:val="nil"/>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730" w:type="dxa"/>
            <w:tcBorders>
              <w:top w:val="nil"/>
              <w:left w:val="nil"/>
              <w:bottom w:val="nil"/>
              <w:right w:val="nil"/>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930" w:type="dxa"/>
            <w:tcBorders>
              <w:top w:val="nil"/>
              <w:left w:val="nil"/>
              <w:bottom w:val="nil"/>
              <w:right w:val="nil"/>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2"/>
                <w:szCs w:val="22"/>
              </w:rPr>
            </w:pPr>
          </w:p>
        </w:tc>
        <w:tc>
          <w:tcPr>
            <w:tcW w:w="2220" w:type="dxa"/>
            <w:tcBorders>
              <w:top w:val="nil"/>
              <w:left w:val="nil"/>
              <w:bottom w:val="nil"/>
              <w:right w:val="nil"/>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nil"/>
              <w:left w:val="nil"/>
              <w:bottom w:val="nil"/>
              <w:right w:val="nil"/>
            </w:tcBorders>
            <w:noWrap/>
            <w:tcMar>
              <w:top w:w="15" w:type="dxa"/>
              <w:left w:w="15" w:type="dxa"/>
              <w:right w:w="15" w:type="dxa"/>
            </w:tcMar>
            <w:vAlign w:val="center"/>
          </w:tcPr>
          <w:p w:rsidR="001B0CBE" w:rsidRPr="008C0A4B" w:rsidRDefault="001B0CBE" w:rsidP="003A6CD8">
            <w:pPr>
              <w:widowControl/>
              <w:ind w:right="440"/>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年       月</w:t>
            </w:r>
          </w:p>
        </w:tc>
        <w:tc>
          <w:tcPr>
            <w:tcW w:w="1080" w:type="dxa"/>
            <w:tcBorders>
              <w:top w:val="nil"/>
              <w:left w:val="nil"/>
              <w:bottom w:val="nil"/>
              <w:right w:val="nil"/>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315"/>
        </w:trPr>
        <w:tc>
          <w:tcPr>
            <w:tcW w:w="47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序号</w:t>
            </w:r>
          </w:p>
        </w:tc>
        <w:tc>
          <w:tcPr>
            <w:tcW w:w="7300" w:type="dxa"/>
            <w:gridSpan w:val="3"/>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扣罚项</w:t>
            </w:r>
          </w:p>
        </w:tc>
        <w:tc>
          <w:tcPr>
            <w:tcW w:w="9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项目分值</w:t>
            </w:r>
          </w:p>
        </w:tc>
        <w:tc>
          <w:tcPr>
            <w:tcW w:w="58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扣罚内容确认栏</w:t>
            </w:r>
          </w:p>
        </w:tc>
      </w:tr>
      <w:tr w:rsidR="001B0CBE" w:rsidRPr="008C0A4B" w:rsidTr="00794547">
        <w:trPr>
          <w:trHeight w:val="270"/>
        </w:trPr>
        <w:tc>
          <w:tcPr>
            <w:tcW w:w="47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2"/>
                <w:szCs w:val="22"/>
              </w:rPr>
            </w:pPr>
          </w:p>
        </w:tc>
        <w:tc>
          <w:tcPr>
            <w:tcW w:w="7300" w:type="dxa"/>
            <w:gridSpan w:val="3"/>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2"/>
                <w:szCs w:val="22"/>
              </w:rPr>
            </w:pPr>
          </w:p>
        </w:tc>
        <w:tc>
          <w:tcPr>
            <w:tcW w:w="9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2"/>
                <w:szCs w:val="22"/>
              </w:rPr>
            </w:pP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时间地点</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事项</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扣分数</w:t>
            </w:r>
          </w:p>
        </w:tc>
      </w:tr>
      <w:tr w:rsidR="001B0CBE" w:rsidRPr="008C0A4B" w:rsidTr="00794547">
        <w:trPr>
          <w:trHeight w:val="56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1</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乙方负责日常设施、设备运行状态检查、巡视并记录</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记录不完整或缺项</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发现一项扣2分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r>
      <w:tr w:rsidR="001B0CBE" w:rsidRPr="008C0A4B" w:rsidTr="00794547">
        <w:trPr>
          <w:trHeight w:val="46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2</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乙方日常更换配件执行情况</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超过甲方规定更换时间</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超过一天扣2分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r>
      <w:tr w:rsidR="001B0CBE" w:rsidRPr="008C0A4B" w:rsidTr="00794547">
        <w:trPr>
          <w:trHeight w:val="34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3</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紧急故障处理</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2小时内完成排查</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超过时间一次每次扣5分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15</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r>
      <w:tr w:rsidR="001B0CBE" w:rsidRPr="008C0A4B" w:rsidTr="00794547">
        <w:trPr>
          <w:trHeight w:val="56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4</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维保工作不规范，对乙方造成影响而受到投诉</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发生投诉</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每次扣2分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jc w:val="center"/>
              <w:rPr>
                <w:rFonts w:ascii="仿宋_GB2312" w:eastAsia="仿宋_GB2312" w:hAnsi="仿宋_GB2312" w:cs="仿宋_GB2312"/>
                <w:sz w:val="24"/>
                <w:szCs w:val="24"/>
              </w:rPr>
            </w:pPr>
          </w:p>
        </w:tc>
      </w:tr>
      <w:tr w:rsidR="001B0CBE" w:rsidRPr="008C0A4B" w:rsidTr="00794547">
        <w:trPr>
          <w:trHeight w:val="50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5</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725E5" w:rsidP="001725E5">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发电机维保</w:t>
            </w:r>
            <w:r w:rsidR="001B0CBE" w:rsidRPr="008C0A4B">
              <w:rPr>
                <w:rFonts w:ascii="仿宋_GB2312" w:eastAsia="仿宋_GB2312" w:hAnsi="仿宋_GB2312" w:cs="仿宋_GB2312" w:hint="eastAsia"/>
                <w:b/>
                <w:kern w:val="0"/>
                <w:sz w:val="20"/>
              </w:rPr>
              <w:t>相关记录，并做好环境维护</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记录不完整或缺项，环境维护不达标</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1725E5">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发现一次扣</w:t>
            </w:r>
            <w:r w:rsidR="001725E5" w:rsidRPr="008C0A4B">
              <w:rPr>
                <w:rFonts w:ascii="仿宋_GB2312" w:eastAsia="仿宋_GB2312" w:hAnsi="仿宋_GB2312" w:cs="仿宋_GB2312" w:hint="eastAsia"/>
                <w:b/>
                <w:kern w:val="0"/>
                <w:sz w:val="20"/>
              </w:rPr>
              <w:t>5</w:t>
            </w:r>
            <w:r w:rsidRPr="008C0A4B">
              <w:rPr>
                <w:rFonts w:ascii="仿宋_GB2312" w:eastAsia="仿宋_GB2312" w:hAnsi="仿宋_GB2312" w:cs="仿宋_GB2312" w:hint="eastAsia"/>
                <w:b/>
                <w:kern w:val="0"/>
                <w:sz w:val="20"/>
              </w:rPr>
              <w:t>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36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6</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配电站设备进行预防性试验</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未及时交给甲方</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超过递交时间一次扣10分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58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7</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应急预案</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每年至少一次应急演练</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超过递交时间一次扣10分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46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8</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每年至少两次安全培训并考核</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未进行安全培训</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超过甲方规定时间一次扣5分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5</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56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9</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维保人员技术水平不符合工作要求需更换</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未更换维保人员</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发现一次扣5分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600"/>
        </w:trPr>
        <w:tc>
          <w:tcPr>
            <w:tcW w:w="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4"/>
                <w:szCs w:val="24"/>
              </w:rPr>
            </w:pPr>
            <w:r w:rsidRPr="008C0A4B">
              <w:rPr>
                <w:rFonts w:ascii="仿宋_GB2312" w:eastAsia="仿宋_GB2312" w:hAnsi="仿宋_GB2312" w:cs="仿宋_GB2312" w:hint="eastAsia"/>
                <w:kern w:val="0"/>
                <w:sz w:val="24"/>
                <w:szCs w:val="24"/>
              </w:rPr>
              <w:t>10</w:t>
            </w:r>
          </w:p>
        </w:tc>
        <w:tc>
          <w:tcPr>
            <w:tcW w:w="28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应积极配合甲方和上级检查，协调日常用电事宜。</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因不配合导致甲方工作无法进行</w:t>
            </w: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left"/>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发现一次扣5分</w:t>
            </w: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300"/>
        </w:trPr>
        <w:tc>
          <w:tcPr>
            <w:tcW w:w="33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合计</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rPr>
                <w:rFonts w:ascii="仿宋_GB2312" w:eastAsia="仿宋_GB2312" w:hAnsi="仿宋_GB2312" w:cs="仿宋_GB2312"/>
                <w:b/>
                <w:sz w:val="20"/>
              </w:rPr>
            </w:pPr>
          </w:p>
        </w:tc>
        <w:tc>
          <w:tcPr>
            <w:tcW w:w="2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rPr>
                <w:rFonts w:ascii="仿宋_GB2312" w:eastAsia="仿宋_GB2312" w:hAnsi="仿宋_GB2312" w:cs="仿宋_GB2312"/>
                <w:b/>
                <w:sz w:val="20"/>
              </w:rPr>
            </w:pPr>
          </w:p>
        </w:tc>
        <w:tc>
          <w:tcPr>
            <w:tcW w:w="9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0CBE" w:rsidRPr="008C0A4B" w:rsidRDefault="001B0CBE" w:rsidP="00794547">
            <w:pPr>
              <w:widowControl/>
              <w:jc w:val="center"/>
              <w:textAlignment w:val="center"/>
              <w:rPr>
                <w:rFonts w:ascii="仿宋_GB2312" w:eastAsia="仿宋_GB2312" w:hAnsi="仿宋_GB2312" w:cs="仿宋_GB2312"/>
                <w:b/>
                <w:sz w:val="20"/>
              </w:rPr>
            </w:pPr>
            <w:r w:rsidRPr="008C0A4B">
              <w:rPr>
                <w:rFonts w:ascii="仿宋_GB2312" w:eastAsia="仿宋_GB2312" w:hAnsi="仿宋_GB2312" w:cs="仿宋_GB2312" w:hint="eastAsia"/>
                <w:b/>
                <w:kern w:val="0"/>
                <w:sz w:val="20"/>
              </w:rPr>
              <w:t>100</w:t>
            </w:r>
          </w:p>
        </w:tc>
        <w:tc>
          <w:tcPr>
            <w:tcW w:w="22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B0CBE" w:rsidRPr="008C0A4B" w:rsidRDefault="001B0CBE" w:rsidP="00794547">
            <w:pPr>
              <w:rPr>
                <w:rFonts w:ascii="仿宋_GB2312" w:eastAsia="仿宋_GB2312" w:hAnsi="仿宋_GB2312" w:cs="仿宋_GB2312"/>
                <w:sz w:val="22"/>
                <w:szCs w:val="22"/>
              </w:rPr>
            </w:pPr>
          </w:p>
        </w:tc>
      </w:tr>
      <w:tr w:rsidR="001B0CBE" w:rsidRPr="008C0A4B" w:rsidTr="00794547">
        <w:trPr>
          <w:trHeight w:val="270"/>
        </w:trPr>
        <w:tc>
          <w:tcPr>
            <w:tcW w:w="14550"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0CBE" w:rsidRPr="008C0A4B" w:rsidRDefault="001B0CBE" w:rsidP="00794547">
            <w:pPr>
              <w:widowControl/>
              <w:jc w:val="left"/>
              <w:textAlignment w:val="top"/>
              <w:rPr>
                <w:rFonts w:ascii="仿宋_GB2312" w:eastAsia="仿宋_GB2312" w:hAnsi="仿宋_GB2312" w:cs="仿宋_GB2312"/>
                <w:sz w:val="22"/>
                <w:szCs w:val="22"/>
              </w:rPr>
            </w:pPr>
            <w:r w:rsidRPr="008C0A4B">
              <w:rPr>
                <w:rFonts w:ascii="仿宋_GB2312" w:eastAsia="仿宋_GB2312" w:hAnsi="仿宋_GB2312" w:cs="仿宋_GB2312" w:hint="eastAsia"/>
                <w:kern w:val="0"/>
                <w:sz w:val="22"/>
                <w:szCs w:val="22"/>
              </w:rPr>
              <w:t>备注：每季度考核一次。</w:t>
            </w:r>
          </w:p>
        </w:tc>
      </w:tr>
    </w:tbl>
    <w:p w:rsidR="001B0CBE" w:rsidRPr="008C0A4B" w:rsidRDefault="001B0CBE" w:rsidP="001B0CBE">
      <w:pPr>
        <w:rPr>
          <w:rFonts w:ascii="仿宋_GB2312" w:eastAsia="仿宋_GB2312" w:hAnsi="仿宋_GB2312" w:cs="仿宋_GB2312"/>
        </w:rPr>
      </w:pPr>
    </w:p>
    <w:p w:rsidR="00A155C1" w:rsidRPr="008C0A4B" w:rsidRDefault="00A155C1" w:rsidP="001B0CBE">
      <w:pPr>
        <w:ind w:firstLineChars="200" w:firstLine="640"/>
        <w:rPr>
          <w:rFonts w:ascii="仿宋" w:eastAsia="仿宋" w:hAnsi="仿宋"/>
          <w:sz w:val="32"/>
          <w:szCs w:val="32"/>
        </w:rPr>
      </w:pPr>
    </w:p>
    <w:sectPr w:rsidR="00A155C1" w:rsidRPr="008C0A4B" w:rsidSect="0033434C">
      <w:pgSz w:w="16838" w:h="11906" w:orient="landscape"/>
      <w:pgMar w:top="1134" w:right="1191" w:bottom="1162" w:left="1191" w:header="851" w:footer="992" w:gutter="0"/>
      <w:cols w:space="720"/>
      <w:docGrid w:type="lines" w:linePitch="3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翀翀翀翀翀翀" w:date="2023-11-14T16:26:00Z" w:initials="">
    <w:p w:rsidR="00A155C1" w:rsidRDefault="00953B40">
      <w:pPr>
        <w:pStyle w:val="a3"/>
      </w:pPr>
      <w:r>
        <w:rPr>
          <w:rFonts w:hint="eastAsia"/>
        </w:rPr>
        <w:t>建议明确为</w:t>
      </w:r>
      <w:r>
        <w:rPr>
          <w:rFonts w:hint="eastAsia"/>
        </w:rPr>
        <w:t>2022</w:t>
      </w:r>
      <w:r>
        <w:rPr>
          <w:rFonts w:hint="eastAsia"/>
        </w:rPr>
        <w:t>年度</w:t>
      </w:r>
    </w:p>
  </w:comment>
  <w:comment w:id="1" w:author="翀翀翀翀翀翀" w:date="2023-11-14T16:29:00Z" w:initials="">
    <w:p w:rsidR="00A155C1" w:rsidRDefault="00953B40">
      <w:pPr>
        <w:pStyle w:val="a3"/>
        <w:rPr>
          <w:rFonts w:ascii="宋体" w:hAnsi="宋体" w:cs="宋体"/>
        </w:rPr>
      </w:pPr>
      <w:r>
        <w:rPr>
          <w:rFonts w:ascii="宋体" w:hAnsi="宋体" w:cs="宋体" w:hint="eastAsia"/>
        </w:rPr>
        <w:t>根据政府采购法第22条，建议增加资格要求：</w:t>
      </w:r>
    </w:p>
    <w:p w:rsidR="00A155C1" w:rsidRDefault="00953B40">
      <w:pPr>
        <w:pStyle w:val="a3"/>
        <w:rPr>
          <w:rFonts w:ascii="宋体" w:hAnsi="宋体" w:cs="宋体"/>
        </w:rPr>
      </w:pPr>
      <w:r>
        <w:rPr>
          <w:rFonts w:ascii="宋体" w:hAnsi="宋体" w:cs="宋体" w:hint="eastAsia"/>
        </w:rPr>
        <w:t>1.有依法缴纳税收和社会保障资金的良好记录。供应商须提供2023年至少1个月的依法缴纳税收和社会保险费的相关证明材料扫描件或复印件并加盖公章。</w:t>
      </w:r>
    </w:p>
    <w:p w:rsidR="00A155C1" w:rsidRDefault="00953B40">
      <w:pPr>
        <w:pStyle w:val="a3"/>
        <w:rPr>
          <w:rFonts w:ascii="宋体" w:hAnsi="宋体" w:cs="宋体"/>
          <w:sz w:val="28"/>
          <w:szCs w:val="28"/>
        </w:rPr>
      </w:pPr>
      <w:r>
        <w:rPr>
          <w:rFonts w:ascii="宋体" w:hAnsi="宋体" w:cs="宋体" w:hint="eastAsia"/>
        </w:rPr>
        <w:t>2.</w:t>
      </w:r>
      <w:r>
        <w:rPr>
          <w:rFonts w:ascii="宋体" w:hAnsi="宋体" w:cs="宋体" w:hint="eastAsia"/>
          <w:sz w:val="28"/>
          <w:szCs w:val="28"/>
        </w:rPr>
        <w:t>提交响应文件截止日前3年在经营活动中没有重大违法记录的书面声明（截至提交响应文件截止日成立不足3年的供应商可提供自成立以来无重大违法记录的书面声明）并加盖公章。</w:t>
      </w:r>
    </w:p>
    <w:p w:rsidR="00A155C1" w:rsidRDefault="00953B40">
      <w:pPr>
        <w:pStyle w:val="a3"/>
        <w:rPr>
          <w:rFonts w:ascii="宋体" w:hAnsi="宋体" w:cs="宋体"/>
        </w:rPr>
      </w:pPr>
      <w:r>
        <w:rPr>
          <w:rFonts w:ascii="宋体" w:hAnsi="宋体" w:cs="宋体" w:hint="eastAsia"/>
          <w:sz w:val="28"/>
          <w:szCs w:val="28"/>
        </w:rPr>
        <w:t>3.供应商须由法定代表人或其授权的委托代理人参加投标。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comment>
  <w:comment w:id="2" w:author="翀翀翀翀翀翀" w:date="2023-11-14T15:44:00Z" w:initials="">
    <w:p w:rsidR="00A155C1" w:rsidRDefault="00953B40">
      <w:pPr>
        <w:pStyle w:val="a3"/>
        <w:rPr>
          <w:rFonts w:ascii="宋体" w:hAnsi="宋体" w:cs="宋体"/>
        </w:rPr>
      </w:pPr>
      <w:r>
        <w:rPr>
          <w:rFonts w:ascii="宋体" w:hAnsi="宋体" w:cs="宋体" w:hint="eastAsia"/>
        </w:rPr>
        <w:t>请确认是否包含工程施工内容。</w:t>
      </w:r>
    </w:p>
    <w:p w:rsidR="00A155C1" w:rsidRDefault="00953B40">
      <w:pPr>
        <w:pStyle w:val="a3"/>
        <w:rPr>
          <w:rFonts w:ascii="宋体" w:hAnsi="宋体" w:cs="宋体"/>
        </w:rPr>
      </w:pPr>
      <w:r>
        <w:rPr>
          <w:rFonts w:ascii="宋体" w:hAnsi="宋体" w:cs="宋体" w:hint="eastAsia"/>
        </w:rPr>
        <w:t>输变电工程专业承包三级资质承包工程范围：可承担110千伏以下电压等级的送电线路和变电站工程的施工。</w:t>
      </w:r>
    </w:p>
    <w:p w:rsidR="00A155C1" w:rsidRDefault="00953B40">
      <w:pPr>
        <w:pStyle w:val="a3"/>
        <w:rPr>
          <w:rFonts w:ascii="宋体" w:hAnsi="宋体" w:cs="宋体"/>
        </w:rPr>
      </w:pPr>
      <w:r>
        <w:rPr>
          <w:rFonts w:ascii="宋体" w:hAnsi="宋体" w:cs="宋体" w:hint="eastAsia"/>
        </w:rPr>
        <w:t>一般更换零配件或保养不属于工程施工。</w:t>
      </w:r>
    </w:p>
  </w:comment>
  <w:comment w:id="3" w:author="翀翀翀翀翀翀" w:date="2023-11-14T15:53:00Z" w:initials="">
    <w:p w:rsidR="00A155C1" w:rsidRDefault="00953B40">
      <w:pPr>
        <w:pStyle w:val="a3"/>
      </w:pPr>
      <w:r>
        <w:rPr>
          <w:rFonts w:hint="eastAsia"/>
        </w:rPr>
        <w:t>在工程类项目中与施工资质证书一起配套要求</w:t>
      </w:r>
    </w:p>
  </w:comment>
  <w:comment w:id="6" w:author="石头" w:date="2023-11-15T11:12:00Z" w:initials="">
    <w:p w:rsidR="00A155C1" w:rsidRDefault="00953B40">
      <w:pPr>
        <w:pStyle w:val="a3"/>
      </w:pPr>
      <w:r>
        <w:rPr>
          <w:rFonts w:hint="eastAsia"/>
        </w:rPr>
        <w:t>定期巡检是否有次数和时间的要求？每月两人，为什么巡检人员是</w:t>
      </w:r>
      <w:r>
        <w:rPr>
          <w:rFonts w:hint="eastAsia"/>
        </w:rPr>
        <w:t>4</w:t>
      </w:r>
      <w:r>
        <w:rPr>
          <w:rFonts w:hint="eastAsia"/>
        </w:rPr>
        <w:t>人？</w:t>
      </w:r>
    </w:p>
  </w:comment>
  <w:comment w:id="5" w:author="翀翀翀翀翀翀" w:date="2023-11-14T16:14:00Z" w:initials="">
    <w:p w:rsidR="00A155C1" w:rsidRDefault="00953B40">
      <w:pPr>
        <w:pStyle w:val="a3"/>
      </w:pPr>
      <w:r>
        <w:rPr>
          <w:rFonts w:hint="eastAsia"/>
        </w:rPr>
        <w:t>建议调整为：</w:t>
      </w:r>
    </w:p>
    <w:p w:rsidR="00A155C1" w:rsidRDefault="00953B40">
      <w:pPr>
        <w:pStyle w:val="a3"/>
      </w:pPr>
      <w:r>
        <w:rPr>
          <w:rFonts w:hint="eastAsia"/>
        </w:rPr>
        <w:t>定期巡检人员必须持有《中华人民共和国特种作业操作证（高压电工作业）》并加盖公章。</w:t>
      </w:r>
    </w:p>
    <w:p w:rsidR="00A155C1" w:rsidRDefault="00953B40">
      <w:pPr>
        <w:pStyle w:val="a3"/>
      </w:pPr>
      <w:r>
        <w:rPr>
          <w:rFonts w:hint="eastAsia"/>
        </w:rPr>
        <w:t>但是根据《特种作业人员安全技术培训考核管理规定》，高压电工作业并不能向下兼容低压电工作业的内容。</w:t>
      </w:r>
    </w:p>
  </w:comment>
  <w:comment w:id="7" w:author="WPS_1668754063" w:date="2023-11-15T10:41:00Z" w:initials="">
    <w:p w:rsidR="00A155C1" w:rsidRDefault="00953B40">
      <w:pPr>
        <w:pStyle w:val="a3"/>
      </w:pPr>
      <w:r>
        <w:rPr>
          <w:rFonts w:hint="eastAsia"/>
        </w:rPr>
        <w:t>定期是每月一次吗？</w:t>
      </w:r>
    </w:p>
  </w:comment>
  <w:comment w:id="9" w:author="WPS_1668754063" w:date="2023-11-15T10:44:00Z" w:initials="">
    <w:p w:rsidR="00A155C1" w:rsidRDefault="00953B40">
      <w:pPr>
        <w:pStyle w:val="a3"/>
      </w:pPr>
      <w:r>
        <w:rPr>
          <w:rFonts w:hint="eastAsia"/>
        </w:rPr>
        <w:t>是否需明确考核表内容及分数对应支付的金额比例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37F5677" w15:done="0"/>
  <w15:commentEx w15:paraId="48F441F7" w15:done="0"/>
  <w15:commentEx w15:paraId="478701AB" w15:done="0"/>
  <w15:commentEx w15:paraId="18414752" w15:done="0"/>
  <w15:commentEx w15:paraId="750A6DDB" w15:done="0"/>
  <w15:commentEx w15:paraId="746F63F8" w15:done="0"/>
  <w15:commentEx w15:paraId="0E6D2B3C" w15:done="0"/>
  <w15:commentEx w15:paraId="0FDC51D6" w15:done="0"/>
  <w15:commentEx w15:paraId="6F6D7657" w15:done="0"/>
  <w15:commentEx w15:paraId="765514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75" w:rsidRDefault="000C5475" w:rsidP="00685960">
      <w:r>
        <w:separator/>
      </w:r>
    </w:p>
  </w:endnote>
  <w:endnote w:type="continuationSeparator" w:id="1">
    <w:p w:rsidR="000C5475" w:rsidRDefault="000C5475" w:rsidP="00685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75" w:rsidRDefault="000C5475" w:rsidP="00685960">
      <w:r>
        <w:separator/>
      </w:r>
    </w:p>
  </w:footnote>
  <w:footnote w:type="continuationSeparator" w:id="1">
    <w:p w:rsidR="000C5475" w:rsidRDefault="000C5475" w:rsidP="00685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507C"/>
    <w:multiLevelType w:val="multilevel"/>
    <w:tmpl w:val="2937507C"/>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A2755F2"/>
    <w:multiLevelType w:val="multilevel"/>
    <w:tmpl w:val="2A2755F2"/>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953DBE"/>
    <w:multiLevelType w:val="multilevel"/>
    <w:tmpl w:val="79F20244"/>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92449CE"/>
    <w:multiLevelType w:val="multilevel"/>
    <w:tmpl w:val="692449CE"/>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79F20244"/>
    <w:multiLevelType w:val="multilevel"/>
    <w:tmpl w:val="79F20244"/>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翀翀翀翀翀翀">
    <w15:presenceInfo w15:providerId="WPS Office" w15:userId="1746153616"/>
  </w15:person>
  <w15:person w15:author="WPS_1668754063">
    <w15:presenceInfo w15:providerId="WPS Office" w15:userId="7871124175"/>
  </w15:person>
  <w15:person w15:author="石头">
    <w15:presenceInfo w15:providerId="WPS Office" w15:userId="41713052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FlNjFjNzYxODFlYTA3YzQzYTA0YzZkYWViODc1NjcifQ=="/>
  </w:docVars>
  <w:rsids>
    <w:rsidRoot w:val="2568371A"/>
    <w:rsid w:val="0007409B"/>
    <w:rsid w:val="000A4F12"/>
    <w:rsid w:val="000C5475"/>
    <w:rsid w:val="000D046B"/>
    <w:rsid w:val="00111D76"/>
    <w:rsid w:val="00114207"/>
    <w:rsid w:val="001564D2"/>
    <w:rsid w:val="001725E5"/>
    <w:rsid w:val="00186633"/>
    <w:rsid w:val="001B0CBE"/>
    <w:rsid w:val="002C0945"/>
    <w:rsid w:val="002E4A75"/>
    <w:rsid w:val="002F0A7A"/>
    <w:rsid w:val="00316D81"/>
    <w:rsid w:val="0033434C"/>
    <w:rsid w:val="003441E7"/>
    <w:rsid w:val="003577DD"/>
    <w:rsid w:val="003A6CD8"/>
    <w:rsid w:val="004F1C8C"/>
    <w:rsid w:val="00513CC5"/>
    <w:rsid w:val="00542794"/>
    <w:rsid w:val="00615044"/>
    <w:rsid w:val="00631611"/>
    <w:rsid w:val="00685960"/>
    <w:rsid w:val="00685A64"/>
    <w:rsid w:val="006B4382"/>
    <w:rsid w:val="006E3C58"/>
    <w:rsid w:val="00711454"/>
    <w:rsid w:val="00823B82"/>
    <w:rsid w:val="00851758"/>
    <w:rsid w:val="00863538"/>
    <w:rsid w:val="008A1DFF"/>
    <w:rsid w:val="008B6683"/>
    <w:rsid w:val="008C0A4B"/>
    <w:rsid w:val="00901553"/>
    <w:rsid w:val="00953B40"/>
    <w:rsid w:val="00964C10"/>
    <w:rsid w:val="00980580"/>
    <w:rsid w:val="009E5654"/>
    <w:rsid w:val="00A155C1"/>
    <w:rsid w:val="00A42DEB"/>
    <w:rsid w:val="00AA3AF8"/>
    <w:rsid w:val="00AE4355"/>
    <w:rsid w:val="00AF2D18"/>
    <w:rsid w:val="00B0690C"/>
    <w:rsid w:val="00B13D8C"/>
    <w:rsid w:val="00B36818"/>
    <w:rsid w:val="00BE1AE6"/>
    <w:rsid w:val="00C17BD0"/>
    <w:rsid w:val="00C57743"/>
    <w:rsid w:val="00C64498"/>
    <w:rsid w:val="00C822C9"/>
    <w:rsid w:val="00CD2ED4"/>
    <w:rsid w:val="00D36E8A"/>
    <w:rsid w:val="00D51AB9"/>
    <w:rsid w:val="00D54A74"/>
    <w:rsid w:val="00D952CF"/>
    <w:rsid w:val="00DA216A"/>
    <w:rsid w:val="00E26B67"/>
    <w:rsid w:val="00E979E9"/>
    <w:rsid w:val="00EB2363"/>
    <w:rsid w:val="00EB693D"/>
    <w:rsid w:val="00EC37F0"/>
    <w:rsid w:val="00F84B5E"/>
    <w:rsid w:val="00FC4311"/>
    <w:rsid w:val="0484265C"/>
    <w:rsid w:val="131E5542"/>
    <w:rsid w:val="14E86C41"/>
    <w:rsid w:val="16A43B3E"/>
    <w:rsid w:val="1F807E6F"/>
    <w:rsid w:val="20DD1BD2"/>
    <w:rsid w:val="2568371A"/>
    <w:rsid w:val="2C9E1F50"/>
    <w:rsid w:val="3DFF697F"/>
    <w:rsid w:val="46DD3B92"/>
    <w:rsid w:val="69D42B8F"/>
    <w:rsid w:val="7C3A4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5C1"/>
    <w:pPr>
      <w:widowControl w:val="0"/>
      <w:jc w:val="both"/>
    </w:pPr>
    <w:rPr>
      <w:kern w:val="2"/>
      <w:sz w:val="21"/>
    </w:rPr>
  </w:style>
  <w:style w:type="paragraph" w:styleId="1">
    <w:name w:val="heading 1"/>
    <w:basedOn w:val="a"/>
    <w:next w:val="a"/>
    <w:uiPriority w:val="9"/>
    <w:qFormat/>
    <w:rsid w:val="00A155C1"/>
    <w:pPr>
      <w:keepNext/>
      <w:keepLines/>
      <w:widowControl/>
      <w:adjustRightInd w:val="0"/>
      <w:snapToGrid w:val="0"/>
      <w:spacing w:line="360" w:lineRule="auto"/>
      <w:jc w:val="center"/>
      <w:outlineLvl w:val="0"/>
    </w:pPr>
    <w:rPr>
      <w:rFonts w:ascii="Tahoma" w:hAnsi="Tahoma"/>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155C1"/>
    <w:pPr>
      <w:jc w:val="left"/>
    </w:pPr>
  </w:style>
  <w:style w:type="paragraph" w:styleId="a4">
    <w:name w:val="Body Text"/>
    <w:basedOn w:val="a"/>
    <w:next w:val="a5"/>
    <w:unhideWhenUsed/>
    <w:qFormat/>
    <w:rsid w:val="00A155C1"/>
  </w:style>
  <w:style w:type="paragraph" w:styleId="a5">
    <w:name w:val="Intense Quote"/>
    <w:basedOn w:val="a"/>
    <w:next w:val="a"/>
    <w:uiPriority w:val="30"/>
    <w:qFormat/>
    <w:rsid w:val="00A155C1"/>
    <w:pPr>
      <w:pBdr>
        <w:top w:val="single" w:sz="4" w:space="10" w:color="4F81BD"/>
        <w:bottom w:val="single" w:sz="4" w:space="10" w:color="4F81BD"/>
      </w:pBdr>
      <w:spacing w:before="360" w:after="360"/>
      <w:ind w:left="864" w:right="864"/>
      <w:jc w:val="center"/>
    </w:pPr>
    <w:rPr>
      <w:i/>
      <w:iCs/>
      <w:color w:val="4F81BD"/>
    </w:rPr>
  </w:style>
  <w:style w:type="paragraph" w:styleId="a6">
    <w:name w:val="footer"/>
    <w:basedOn w:val="a"/>
    <w:link w:val="Char"/>
    <w:qFormat/>
    <w:rsid w:val="00A155C1"/>
    <w:pPr>
      <w:tabs>
        <w:tab w:val="center" w:pos="4153"/>
        <w:tab w:val="right" w:pos="8306"/>
      </w:tabs>
      <w:snapToGrid w:val="0"/>
      <w:jc w:val="left"/>
    </w:pPr>
    <w:rPr>
      <w:sz w:val="18"/>
      <w:szCs w:val="18"/>
    </w:rPr>
  </w:style>
  <w:style w:type="paragraph" w:styleId="a7">
    <w:name w:val="header"/>
    <w:basedOn w:val="a"/>
    <w:link w:val="Char0"/>
    <w:qFormat/>
    <w:rsid w:val="00A155C1"/>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rsid w:val="00A155C1"/>
    <w:pPr>
      <w:widowControl w:val="0"/>
      <w:autoSpaceDE w:val="0"/>
      <w:autoSpaceDN w:val="0"/>
      <w:adjustRightInd w:val="0"/>
    </w:pPr>
    <w:rPr>
      <w:rFonts w:ascii="......." w:eastAsia="......." w:hAnsi="......." w:cs="......."/>
      <w:color w:val="000000"/>
      <w:sz w:val="24"/>
      <w:szCs w:val="24"/>
    </w:rPr>
  </w:style>
  <w:style w:type="paragraph" w:styleId="a8">
    <w:name w:val="List Paragraph"/>
    <w:basedOn w:val="a"/>
    <w:uiPriority w:val="34"/>
    <w:qFormat/>
    <w:rsid w:val="00A155C1"/>
    <w:pPr>
      <w:ind w:firstLineChars="200" w:firstLine="420"/>
    </w:pPr>
  </w:style>
  <w:style w:type="character" w:customStyle="1" w:styleId="Char0">
    <w:name w:val="页眉 Char"/>
    <w:basedOn w:val="a0"/>
    <w:link w:val="a7"/>
    <w:qFormat/>
    <w:rsid w:val="00A155C1"/>
    <w:rPr>
      <w:rFonts w:ascii="Times New Roman" w:eastAsia="宋体" w:hAnsi="Times New Roman" w:cs="Times New Roman"/>
      <w:kern w:val="2"/>
      <w:sz w:val="18"/>
      <w:szCs w:val="18"/>
    </w:rPr>
  </w:style>
  <w:style w:type="character" w:customStyle="1" w:styleId="Char">
    <w:name w:val="页脚 Char"/>
    <w:basedOn w:val="a0"/>
    <w:link w:val="a6"/>
    <w:qFormat/>
    <w:rsid w:val="00A155C1"/>
    <w:rPr>
      <w:rFonts w:ascii="Times New Roman" w:eastAsia="宋体" w:hAnsi="Times New Roman" w:cs="Times New Roman"/>
      <w:kern w:val="2"/>
      <w:sz w:val="18"/>
      <w:szCs w:val="18"/>
    </w:rPr>
  </w:style>
  <w:style w:type="character" w:styleId="a9">
    <w:name w:val="annotation reference"/>
    <w:basedOn w:val="a0"/>
    <w:rsid w:val="00A155C1"/>
    <w:rPr>
      <w:sz w:val="21"/>
      <w:szCs w:val="21"/>
    </w:rPr>
  </w:style>
  <w:style w:type="paragraph" w:styleId="aa">
    <w:name w:val="Balloon Text"/>
    <w:basedOn w:val="a"/>
    <w:link w:val="Char1"/>
    <w:rsid w:val="00685960"/>
    <w:rPr>
      <w:sz w:val="18"/>
      <w:szCs w:val="18"/>
    </w:rPr>
  </w:style>
  <w:style w:type="character" w:customStyle="1" w:styleId="Char1">
    <w:name w:val="批注框文本 Char"/>
    <w:basedOn w:val="a0"/>
    <w:link w:val="aa"/>
    <w:rsid w:val="006859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AAD8-7607-4783-8C68-75A64969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461</Words>
  <Characters>2628</Characters>
  <Application>Microsoft Office Word</Application>
  <DocSecurity>0</DocSecurity>
  <Lines>21</Lines>
  <Paragraphs>6</Paragraphs>
  <ScaleCrop>false</ScaleCrop>
  <Company>Microsoft</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kaws^8</dc:creator>
  <cp:lastModifiedBy>Lenovo</cp:lastModifiedBy>
  <cp:revision>41</cp:revision>
  <dcterms:created xsi:type="dcterms:W3CDTF">2023-11-02T00:56:00Z</dcterms:created>
  <dcterms:modified xsi:type="dcterms:W3CDTF">2023-11-22T04:23:00Z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BEB4A4D62147429EADB730761F421131_11</vt:lpwstr>
  </property>
</Properties>
</file>