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项目需求书</w:t>
      </w:r>
    </w:p>
    <w:p>
      <w:pPr>
        <w:rPr>
          <w:rFonts w:hint="eastAsia" w:ascii="宋体" w:hAnsi="宋体" w:eastAsia="宋体" w:cs="宋体"/>
          <w:color w:val="auto"/>
          <w:highlight w:val="none"/>
          <w:lang w:eastAsia="zh-CN"/>
        </w:rPr>
      </w:pP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rPr>
        <w:t>一、项目</w:t>
      </w:r>
      <w:r>
        <w:rPr>
          <w:rFonts w:hint="eastAsia" w:ascii="宋体" w:hAnsi="宋体" w:cs="宋体"/>
          <w:b/>
          <w:bCs/>
          <w:color w:val="auto"/>
          <w:sz w:val="21"/>
          <w:szCs w:val="21"/>
          <w:highlight w:val="none"/>
          <w:lang w:val="en-US" w:eastAsia="zh-CN"/>
        </w:rPr>
        <w:t>背景</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天津中医药大学第四附属医院暨天津市滨海新区中医医院，是集医疗、预防、教学、科研、养生、保健、康复为一体的达到国内先进水平的现代化“三级”综合中医医院，将成为滨海新区的中医医疗中心。杭州道院区位于天津市滨海新区塘沽杭州道90号。项目占地总面积33128平方米，建筑面积22655.48平方米。北塘院区位于天津市滨海新区北塘街，规划可用地面积6.66万平方米，建筑面积11.2万平方米。</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本项目服务范围是我院杭州道院区及北塘院区的电话及基础网络通信服务。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二、预算要求</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服务期1年。预算金额：39万元/年。服务费按照实际服务日期及服务需求按季据实结算。</w:t>
      </w:r>
    </w:p>
    <w:p>
      <w:pPr>
        <w:pStyle w:val="2"/>
        <w:spacing w:after="0" w:line="360" w:lineRule="auto"/>
        <w:ind w:firstLine="422" w:firstLineChars="200"/>
        <w:jc w:val="left"/>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三、分包情况</w:t>
      </w:r>
    </w:p>
    <w:p>
      <w:pPr>
        <w:pStyle w:val="2"/>
        <w:spacing w:after="0" w:line="360" w:lineRule="auto"/>
        <w:ind w:firstLine="422" w:firstLineChars="200"/>
        <w:jc w:val="left"/>
        <w:rPr>
          <w:rFonts w:hint="default" w:ascii="宋体" w:hAnsi="宋体" w:eastAsia="宋体" w:cs="宋体"/>
          <w:b/>
          <w:bCs/>
          <w:color w:val="auto"/>
          <w:kern w:val="0"/>
          <w:sz w:val="21"/>
          <w:szCs w:val="21"/>
          <w:highlight w:val="none"/>
          <w:u w:val="none"/>
          <w:lang w:val="en-US" w:eastAsia="zh-CN" w:bidi="ar-SA"/>
        </w:rPr>
      </w:pPr>
      <w:r>
        <w:rPr>
          <w:rFonts w:hint="default" w:ascii="宋体" w:hAnsi="宋体" w:eastAsia="宋体" w:cs="宋体"/>
          <w:b/>
          <w:bCs/>
          <w:color w:val="auto"/>
          <w:kern w:val="0"/>
          <w:sz w:val="21"/>
          <w:szCs w:val="21"/>
          <w:highlight w:val="none"/>
          <w:u w:val="none"/>
          <w:lang w:val="en-US" w:eastAsia="zh-CN" w:bidi="ar-SA"/>
        </w:rPr>
        <w:t>第一包采购范围：主要包含以下服务内容，预算金额</w:t>
      </w:r>
      <w:r>
        <w:rPr>
          <w:rFonts w:hint="eastAsia" w:ascii="宋体" w:hAnsi="宋体" w:cs="宋体"/>
          <w:b/>
          <w:bCs/>
          <w:color w:val="auto"/>
          <w:kern w:val="0"/>
          <w:sz w:val="21"/>
          <w:szCs w:val="21"/>
          <w:highlight w:val="none"/>
          <w:u w:val="none"/>
          <w:lang w:val="en-US" w:eastAsia="zh-CN" w:bidi="ar-SA"/>
        </w:rPr>
        <w:t>：</w:t>
      </w:r>
      <w:r>
        <w:rPr>
          <w:rFonts w:hint="default" w:ascii="宋体" w:hAnsi="宋体" w:eastAsia="宋体" w:cs="宋体"/>
          <w:b/>
          <w:bCs/>
          <w:color w:val="auto"/>
          <w:kern w:val="0"/>
          <w:sz w:val="21"/>
          <w:szCs w:val="21"/>
          <w:highlight w:val="none"/>
          <w:u w:val="none"/>
          <w:lang w:val="en-US" w:eastAsia="zh-CN" w:bidi="ar-SA"/>
        </w:rPr>
        <w:t>17.85万元/年。</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1.两院区之间联络数据专线（北塘和杭州道之间），带宽：0.5G，类型：数据专线，数量：1条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2.办公需求需提供固定IP地址互联网（北塘、杭州道各一条），带宽：0.1G （100M)需提供固定IP互联网，数量：1条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3.办公需求需提供固定IP地址互联网（北塘、杭州道各一条），带宽：0.02G(20M） 需提供固定IP 互联网，数量：1条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4.办公区域无固定IP地址互联网（北塘2条、杭州道2条），带宽：1G 无固定IP地址互联网，数量：2条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5.住院、门诊区域患者使用无固定IP地址互联网（北塘3条、杭州道3条），带宽：1G 无固定IP地址互联网，数量：3条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6.医保专线业务（北塘1条、杭州道1条），带宽：0.02（20M) 医保专线业务 ，数量：1条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7.驾驶员专线（需要制定运营商）杭州道-车管所，数量：1条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8.区卫健委OA（专用网卡），数量：2个</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9.区级视频会议，数量：1条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10.创伤中心连接市120指挥中心专线，数量：1条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11.煎药中心联络专线（20M），数量：1条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12.区卫健委区域卫生专网（100M），数量：1条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13.区域医联体北塘社区，，数量：1条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14.生殖中心联络专线（50M），数量：1条</w:t>
      </w:r>
    </w:p>
    <w:p>
      <w:pPr>
        <w:pStyle w:val="2"/>
        <w:spacing w:after="0" w:line="360" w:lineRule="auto"/>
        <w:ind w:firstLine="420" w:firstLineChars="200"/>
        <w:jc w:val="left"/>
        <w:rPr>
          <w:rFonts w:hint="default" w:ascii="宋体" w:hAnsi="宋体" w:eastAsia="宋体" w:cs="宋体"/>
          <w:color w:val="auto"/>
          <w:kern w:val="0"/>
          <w:sz w:val="21"/>
          <w:szCs w:val="21"/>
          <w:highlight w:val="none"/>
          <w:u w:val="none"/>
          <w:lang w:val="en-US" w:eastAsia="zh-CN" w:bidi="ar-SA"/>
        </w:rPr>
      </w:pPr>
      <w:r>
        <w:rPr>
          <w:rFonts w:hint="default" w:ascii="宋体" w:hAnsi="宋体" w:eastAsia="宋体" w:cs="宋体"/>
          <w:color w:val="auto"/>
          <w:kern w:val="0"/>
          <w:sz w:val="21"/>
          <w:szCs w:val="21"/>
          <w:highlight w:val="none"/>
          <w:u w:val="none"/>
          <w:lang w:val="en-US" w:eastAsia="zh-CN" w:bidi="ar-SA"/>
        </w:rPr>
        <w:t>15.物联网手机卡（400M）每月固定访问内网IP，不能上互联网，每卡每月6元，50个，智慧护理用，按实际开通个数计费</w:t>
      </w:r>
    </w:p>
    <w:p>
      <w:pPr>
        <w:pStyle w:val="2"/>
        <w:spacing w:after="0" w:line="360" w:lineRule="auto"/>
        <w:ind w:firstLine="422" w:firstLineChars="200"/>
        <w:jc w:val="left"/>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第二包采购范围：主要包含以下服务内容，预算金额：18.25万元/年。</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1.两院区之间联络数据专线（北塘和杭州道之间），带宽：0.5G，类型：数据专线，数量：1条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2.办公需求需提供固定IP地址互联网（北塘、杭州道各一条），带宽：0.1G （100M)需提供固定IP 互联网，数量：1条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3.办公需求需提供固定IP地址互联网（北塘、杭州道各一条），带宽：0.02G(20M） 需提供固定IP 互联网，数量：1条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4.办公区域无固定IP地址互联网（北塘2条、杭州道2条），带宽：1G 无固定IP地址互联网，数量：2条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5.住院、门诊区域患者使用无固定IP地址互联网（北塘3条、杭州道3条），带宽：1G 无固定IP地址互联网，数量：3条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6.医保专线业务（北塘1条、杭州道1条），带宽：0.02（20M) 医保专线业务， 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7.双院区固定电话服务</w:t>
      </w:r>
    </w:p>
    <w:p>
      <w:pPr>
        <w:pStyle w:val="2"/>
        <w:spacing w:after="0" w:line="360" w:lineRule="auto"/>
        <w:ind w:firstLine="422"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1)固定电话号码数量不少于1000个，移动电话号码不少于10个。</w:t>
      </w:r>
      <w:r>
        <w:rPr>
          <w:rFonts w:hint="eastAsia" w:ascii="宋体" w:hAnsi="宋体" w:eastAsia="宋体" w:cs="宋体"/>
          <w:color w:val="auto"/>
          <w:kern w:val="0"/>
          <w:sz w:val="21"/>
          <w:szCs w:val="21"/>
          <w:highlight w:val="none"/>
          <w:u w:val="none"/>
          <w:lang w:val="en-US" w:eastAsia="zh-CN" w:bidi="ar-SA"/>
        </w:rPr>
        <w:t>设置足额通话时长，不低于2.5万分钟（不含内部通话），通话时长超出不额外付费。</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2)实现北塘院区与杭州道院区内网拨号，互打免费，并由成交供应商免费提供全部设施设备。</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3)根据院内需求，随时开通及更改各房间电话号码，不得以任何理由推迟开通选定的号段内的电话号码，并免费维护到桌面。</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4)同时拨打固定电话的最大数量不低于120个。</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5)保证医院各区域的固定及移动电话信号畅通。特别是各设备间、值班室、地下1层、地下2层等信号较弱地点的固定及移动电话信号畅通。</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6)通讯服务运营商需为两院区编制并印刷号码簿，并定期核实各科室号码信息及时更新号码簿。通信服务运营商对在工作过程中接触到的本院任何资料、文件、数据（无论是书面还是电子的），负有保密的责任，未经院方允许，运营商不得以任何方式向任何第三方提供和透露，否则承担相应的法律责任。</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7)通讯服务运营商应对院内公布一个报修电话，24小时接听院内各科室故障报修问题，每月将报修维护记录、通话分钟数等形成运维报告，上报至主管科室。</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8.</w:t>
      </w:r>
      <w:r>
        <w:rPr>
          <w:rFonts w:hint="eastAsia" w:ascii="宋体" w:hAnsi="宋体" w:eastAsia="宋体" w:cs="宋体"/>
          <w:color w:val="auto"/>
          <w:kern w:val="0"/>
          <w:sz w:val="21"/>
          <w:szCs w:val="21"/>
          <w:highlight w:val="none"/>
          <w:u w:val="none"/>
          <w:lang w:val="en-US" w:eastAsia="zh-CN" w:bidi="ar-SA"/>
        </w:rPr>
        <w:t>物联网手机卡（400M）每月固定访问内网IP，不能上互联网，每卡每月6元，150个，智慧护理用，按实际开通个数计费。</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9.</w:t>
      </w:r>
      <w:r>
        <w:rPr>
          <w:rFonts w:hint="eastAsia" w:ascii="宋体" w:hAnsi="宋体" w:eastAsia="宋体" w:cs="宋体"/>
          <w:color w:val="auto"/>
          <w:kern w:val="0"/>
          <w:sz w:val="21"/>
          <w:szCs w:val="21"/>
          <w:highlight w:val="none"/>
          <w:u w:val="none"/>
          <w:lang w:val="en-US" w:eastAsia="zh-CN" w:bidi="ar-SA"/>
        </w:rPr>
        <w:t>第一护理院联络专线（50M) ， 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10.</w:t>
      </w:r>
      <w:r>
        <w:rPr>
          <w:rFonts w:hint="eastAsia" w:ascii="宋体" w:hAnsi="宋体" w:eastAsia="宋体" w:cs="宋体"/>
          <w:color w:val="auto"/>
          <w:kern w:val="0"/>
          <w:sz w:val="21"/>
          <w:szCs w:val="21"/>
          <w:highlight w:val="none"/>
          <w:u w:val="none"/>
          <w:lang w:val="en-US" w:eastAsia="zh-CN" w:bidi="ar-SA"/>
        </w:rPr>
        <w:t>污水处理站，物联网手机卡（1G）每月固定访问内网IP，不能上互联网， 数量：1条</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11.住院特需病区服务网络</w:t>
      </w:r>
    </w:p>
    <w:p>
      <w:pPr>
        <w:pStyle w:val="2"/>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highlight w:val="none"/>
          <w:u w:val="none"/>
          <w:lang w:val="en-US" w:eastAsia="zh-CN" w:bidi="ar-SA"/>
        </w:rPr>
        <w:t>12.双院区固定电话服务第二区</w:t>
      </w:r>
    </w:p>
    <w:p>
      <w:pPr>
        <w:pStyle w:val="2"/>
        <w:spacing w:after="0" w:line="360" w:lineRule="auto"/>
        <w:ind w:firstLine="422" w:firstLineChars="200"/>
        <w:jc w:val="left"/>
        <w:rPr>
          <w:rFonts w:hint="eastAsia" w:ascii="宋体" w:hAnsi="宋体" w:eastAsia="宋体" w:cs="宋体"/>
          <w:b/>
          <w:bCs/>
          <w:color w:val="auto"/>
          <w:kern w:val="0"/>
          <w:sz w:val="21"/>
          <w:szCs w:val="21"/>
          <w:highlight w:val="none"/>
          <w:u w:val="none"/>
          <w:lang w:val="en-US" w:eastAsia="zh-CN" w:bidi="ar-SA"/>
        </w:rPr>
      </w:pPr>
      <w:r>
        <w:rPr>
          <w:rFonts w:hint="eastAsia" w:ascii="宋体" w:hAnsi="宋体" w:eastAsia="宋体" w:cs="宋体"/>
          <w:b/>
          <w:bCs/>
          <w:color w:val="auto"/>
          <w:kern w:val="0"/>
          <w:sz w:val="21"/>
          <w:szCs w:val="21"/>
          <w:highlight w:val="none"/>
          <w:u w:val="none"/>
          <w:lang w:val="en-US" w:eastAsia="zh-CN" w:bidi="ar-SA"/>
        </w:rPr>
        <w:t>第三包采购范围：主要包含以下服务内容，预算金额：2.9万元/年。</w:t>
      </w:r>
    </w:p>
    <w:p>
      <w:pPr>
        <w:pStyle w:val="2"/>
        <w:numPr>
          <w:ilvl w:val="0"/>
          <w:numId w:val="0"/>
        </w:numPr>
        <w:spacing w:after="0" w:line="360" w:lineRule="auto"/>
        <w:ind w:firstLine="420" w:firstLineChars="200"/>
        <w:jc w:val="left"/>
        <w:rPr>
          <w:rFonts w:hint="eastAsia" w:ascii="宋体" w:hAnsi="宋体" w:eastAsia="宋体" w:cs="宋体"/>
          <w:color w:val="auto"/>
          <w:kern w:val="0"/>
          <w:sz w:val="21"/>
          <w:szCs w:val="21"/>
          <w:highlight w:val="none"/>
          <w:u w:val="none"/>
          <w:lang w:val="en-US" w:eastAsia="zh-CN" w:bidi="ar-SA"/>
        </w:rPr>
      </w:pPr>
      <w:r>
        <w:rPr>
          <w:rFonts w:hint="eastAsia" w:ascii="宋体" w:hAnsi="宋体" w:eastAsia="宋体" w:cs="宋体"/>
          <w:color w:val="auto"/>
          <w:kern w:val="0"/>
          <w:sz w:val="21"/>
          <w:szCs w:val="21"/>
          <w:lang w:val="en-US" w:eastAsia="zh-CN" w:bidi="ar-SA"/>
        </w:rPr>
        <w:t>1.</w:t>
      </w:r>
      <w:r>
        <w:rPr>
          <w:rFonts w:hint="eastAsia" w:ascii="宋体" w:hAnsi="宋体" w:eastAsia="宋体" w:cs="宋体"/>
          <w:color w:val="auto"/>
          <w:kern w:val="0"/>
          <w:sz w:val="21"/>
          <w:szCs w:val="21"/>
          <w:highlight w:val="none"/>
          <w:u w:val="none"/>
          <w:lang w:val="en-US" w:eastAsia="zh-CN" w:bidi="ar-SA"/>
        </w:rPr>
        <w:t>市级卫健委OA、视频会议，数量：1条</w:t>
      </w:r>
    </w:p>
    <w:p>
      <w:pPr>
        <w:pStyle w:val="2"/>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2" w:firstLineChars="200"/>
        <w:jc w:val="left"/>
        <w:textAlignment w:val="auto"/>
        <w:rPr>
          <w:rFonts w:hint="eastAsia" w:ascii="宋体" w:hAnsi="宋体" w:eastAsia="宋体" w:cs="宋体"/>
          <w:b/>
          <w:bCs/>
          <w:color w:val="auto"/>
          <w:kern w:val="0"/>
          <w:sz w:val="24"/>
          <w:szCs w:val="24"/>
          <w:highlight w:val="none"/>
          <w:u w:val="none"/>
          <w:lang w:val="en-US" w:eastAsia="zh-CN" w:bidi="ar-SA"/>
        </w:rPr>
      </w:pPr>
      <w:r>
        <w:rPr>
          <w:rFonts w:hint="eastAsia" w:ascii="宋体" w:hAnsi="宋体" w:eastAsia="宋体" w:cs="宋体"/>
          <w:b/>
          <w:bCs/>
          <w:color w:val="auto"/>
          <w:kern w:val="0"/>
          <w:sz w:val="24"/>
          <w:szCs w:val="24"/>
          <w:highlight w:val="none"/>
          <w:u w:val="none"/>
          <w:lang w:val="en-US" w:eastAsia="zh-CN" w:bidi="ar-SA"/>
        </w:rPr>
        <w:t>备注：分包采购，兼投不兼中。</w:t>
      </w:r>
    </w:p>
    <w:p>
      <w:pPr>
        <w:numPr>
          <w:ilvl w:val="0"/>
          <w:numId w:val="0"/>
        </w:numPr>
        <w:spacing w:line="360" w:lineRule="auto"/>
        <w:ind w:left="0" w:leftChars="0" w:firstLine="422" w:firstLineChars="200"/>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kern w:val="2"/>
          <w:sz w:val="21"/>
          <w:szCs w:val="21"/>
          <w:highlight w:val="none"/>
          <w:lang w:val="en-US" w:eastAsia="zh-CN" w:bidi="ar-SA"/>
        </w:rPr>
        <w:t>四、</w:t>
      </w:r>
      <w:r>
        <w:rPr>
          <w:rFonts w:hint="eastAsia" w:ascii="宋体" w:hAnsi="宋体" w:eastAsia="宋体" w:cs="宋体"/>
          <w:b/>
          <w:bCs/>
          <w:color w:val="auto"/>
          <w:sz w:val="21"/>
          <w:szCs w:val="21"/>
          <w:highlight w:val="none"/>
          <w:lang w:val="en-US" w:eastAsia="zh-CN"/>
        </w:rPr>
        <w:t>供应商资格要求</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1.供应商具备在有效期内的营业执照副本或事业单位法人证书或民办非企业单位登记证书或社会团体法人登记证书或基金会法人登记证书（复印件加盖公章）；</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若供应商法定代表人（或负责人）参加开标，须提供法定代表人（或负责人）资格证明书及法定代表人（或负责人）身份证明；若供应商授权代表参加开标，须提供法定代表人（或负责人）资格证明书、法定代表人（或负责人）身份证明复印件、法定代表人（或负责人）授权书、被授权人身份证明（复印件加盖公章）；</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3.供应商须具有会计师事务所出具的2022或2023年度审计报告或开标截止前1个月以内银行出具的资信证明（复印件加盖公章）；</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供应商须提供近半年任意一个月依法缴纳税收和社会保障资金的资金保障记录（复印件加盖公章）或提供依法缴纳税收和社会保险承诺书（依法免缴的，应提供依法免缴的相关证明文件；新成立的供应商按实际的缴纳情况递交相关证明）；</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5.供应商须提交响应文件截止日前3年在经营活动中没有重大违法记录的书面声明。截至提交响应文件截止日成立不足3年的供应商可提供自成立以来无重大违法记录的书面声明。（复印件加盖公章）；</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6.不接受联合体参加磋商，供应商须提供《非联合体磋商声明函》并加盖公章。</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w:t>
      </w:r>
      <w:r>
        <w:rPr>
          <w:rFonts w:hint="eastAsia" w:ascii="宋体" w:hAnsi="宋体" w:cs="宋体"/>
          <w:b/>
          <w:bCs w:val="0"/>
          <w:color w:val="auto"/>
          <w:sz w:val="21"/>
          <w:szCs w:val="21"/>
          <w:highlight w:val="none"/>
          <w:lang w:val="en-US" w:eastAsia="zh-CN"/>
        </w:rPr>
        <w:t>第一包、第三包：</w:t>
      </w:r>
      <w:r>
        <w:rPr>
          <w:rFonts w:hint="eastAsia" w:ascii="宋体" w:hAnsi="宋体" w:cs="宋体"/>
          <w:bCs/>
          <w:color w:val="auto"/>
          <w:sz w:val="21"/>
          <w:szCs w:val="21"/>
          <w:highlight w:val="none"/>
          <w:lang w:val="en-US" w:eastAsia="zh-CN"/>
        </w:rPr>
        <w:t>供应商须具备在有效期内的《中华人民共和国基础电信业务经营许可证》或《中华人民共和国增值电信业务经营许可证》，提供证书复印件并加盖公章。</w:t>
      </w:r>
    </w:p>
    <w:p>
      <w:pPr>
        <w:spacing w:line="360" w:lineRule="auto"/>
        <w:ind w:firstLine="422" w:firstLineChars="200"/>
        <w:rPr>
          <w:rFonts w:hint="eastAsia" w:ascii="宋体" w:hAnsi="宋体" w:eastAsia="宋体" w:cs="宋体"/>
          <w:color w:val="auto"/>
          <w:sz w:val="21"/>
          <w:szCs w:val="21"/>
          <w:highlight w:val="none"/>
        </w:rPr>
      </w:pPr>
      <w:r>
        <w:rPr>
          <w:rFonts w:hint="eastAsia" w:ascii="宋体" w:hAnsi="宋体" w:cs="宋体"/>
          <w:b/>
          <w:bCs w:val="0"/>
          <w:color w:val="auto"/>
          <w:sz w:val="21"/>
          <w:szCs w:val="21"/>
          <w:highlight w:val="none"/>
          <w:lang w:val="en-US" w:eastAsia="zh-CN"/>
        </w:rPr>
        <w:t>第二包：</w:t>
      </w:r>
      <w:r>
        <w:rPr>
          <w:rFonts w:hint="eastAsia" w:ascii="宋体" w:hAnsi="宋体" w:cs="宋体"/>
          <w:bCs/>
          <w:color w:val="auto"/>
          <w:sz w:val="21"/>
          <w:szCs w:val="21"/>
          <w:highlight w:val="none"/>
          <w:lang w:val="en-US" w:eastAsia="zh-CN"/>
        </w:rPr>
        <w:t>供应商须具备在有效期内的《中华人民共和国基础电信业务经营许可证》，提供证书复印件并加盖公章</w:t>
      </w:r>
      <w:r>
        <w:rPr>
          <w:rFonts w:hint="eastAsia" w:ascii="宋体" w:hAnsi="宋体" w:eastAsia="宋体" w:cs="宋体"/>
          <w:color w:val="auto"/>
          <w:sz w:val="21"/>
          <w:szCs w:val="21"/>
          <w:highlight w:val="none"/>
        </w:rPr>
        <w:t>。</w:t>
      </w:r>
    </w:p>
    <w:p>
      <w:pPr>
        <w:pStyle w:val="2"/>
        <w:ind w:firstLine="420" w:firstLineChars="200"/>
        <w:rPr>
          <w:rFonts w:hint="default" w:eastAsia="宋体"/>
          <w:lang w:val="en-US" w:eastAsia="zh-CN"/>
        </w:rPr>
      </w:pPr>
      <w:r>
        <w:rPr>
          <w:rFonts w:hint="eastAsia" w:ascii="宋体" w:hAnsi="宋体" w:cs="宋体"/>
          <w:color w:val="auto"/>
          <w:sz w:val="21"/>
          <w:szCs w:val="21"/>
          <w:highlight w:val="none"/>
          <w:lang w:val="en-US" w:eastAsia="zh-CN"/>
        </w:rPr>
        <w:t>8.</w:t>
      </w:r>
      <w:r>
        <w:rPr>
          <w:rFonts w:hint="eastAsia" w:ascii="宋体" w:hAnsi="宋体" w:cs="宋体"/>
          <w:bCs/>
          <w:color w:val="auto"/>
          <w:sz w:val="21"/>
          <w:szCs w:val="21"/>
          <w:highlight w:val="none"/>
          <w:lang w:val="en-US" w:eastAsia="zh-CN"/>
        </w:rPr>
        <w:t>按照《财政部关于在政府采购活动中查询及使用信用记录有关问题的通知》（财库〔2016〕125号）的要求，代理机构于响应文件开启当日响应文件开启时间之前打印的信用中国、中国政府采购网的查询结果信用记录未列入失信被执行人、重大税收违法案件当事人名单、政府采购严重违法失信行为记录名单。</w:t>
      </w:r>
    </w:p>
    <w:p>
      <w:pPr>
        <w:spacing w:line="360" w:lineRule="auto"/>
        <w:ind w:firstLine="422" w:firstLineChars="20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五、</w:t>
      </w:r>
      <w:r>
        <w:rPr>
          <w:rFonts w:hint="eastAsia" w:ascii="宋体" w:hAnsi="宋体" w:eastAsia="宋体" w:cs="宋体"/>
          <w:b/>
          <w:bCs/>
          <w:color w:val="auto"/>
          <w:sz w:val="21"/>
          <w:szCs w:val="21"/>
          <w:highlight w:val="none"/>
        </w:rPr>
        <w:t>其他</w:t>
      </w:r>
      <w:r>
        <w:rPr>
          <w:rFonts w:hint="eastAsia" w:ascii="宋体" w:hAnsi="宋体" w:eastAsia="宋体" w:cs="宋体"/>
          <w:b/>
          <w:bCs/>
          <w:color w:val="auto"/>
          <w:sz w:val="21"/>
          <w:szCs w:val="21"/>
          <w:highlight w:val="none"/>
          <w:lang w:eastAsia="zh-CN"/>
        </w:rPr>
        <w:t>要求</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1.合同起始日期以采购人书面通知时间为准。</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2.供应商应视采购人为重要集团客户，提供优质的通讯及网络服务，并为采购人提供各类业务的预约、咨询、建议等延伸服务。</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3.供应商应为采购人配备专业的客户经理，作为采购人与供应商事务沟通的第一联络人，为采购人提供热情、周到的上门服务，及时协调解决采购人提出的各类通信问题。</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4.售后服务要求：通讯服务运营商须提供7*24小时运维服务，在收到故障通知后2小时派专业人员相应，响应后需在2小时内完成处理，供应商应建立快速、高效的业务处理流程，确保业务开通及故障处理时限。一个月内如出现5次以上故障问题，或严重影响到院内正常通讯，采购人有权要求运营商驻场维护至少一个月，待问题解决为止。</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5.成交供应商不得在承包区域从事非法活动或有损采购人利益的活动。</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6.成交供应商服务项目标准应以达到国家、行业及磋商文件规定的标准为准。</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7.供应商有义务针对采购人提出的两院区信号欠缺的区域，及时提供基站建设或优化措施。</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8.采购人有权对成交供应商进行考核，成交供应商达不到采购人要求及成交供应商各项服务承诺，采购人有权要求其整改，扣款或终止合同。</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9.付款方式</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本项目采取后付方式，每3个月支付一次，服务费按照实际服务日期及服务需求按季据实结算。每个支付周期中，采购人进行验收考核1次，当期如有一次考核分数低于80分（不包括80分）时，采购人有权扣除当期服务费的5%-10%。三次考核低于80分，采购人有权解除合同。</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10.验收标准</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采购人自行验收。</w:t>
      </w:r>
    </w:p>
    <w:p>
      <w:pPr>
        <w:spacing w:line="360" w:lineRule="auto"/>
        <w:ind w:firstLine="422" w:firstLineChars="200"/>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六、</w:t>
      </w:r>
      <w:r>
        <w:rPr>
          <w:rFonts w:hint="eastAsia" w:ascii="宋体" w:hAnsi="宋体" w:cs="宋体"/>
          <w:b/>
          <w:bCs/>
          <w:color w:val="auto"/>
          <w:sz w:val="21"/>
          <w:szCs w:val="21"/>
          <w:highlight w:val="none"/>
          <w:lang w:val="en-US" w:eastAsia="zh-CN"/>
        </w:rPr>
        <w:t>采购人</w:t>
      </w:r>
      <w:r>
        <w:rPr>
          <w:rFonts w:hint="eastAsia" w:ascii="宋体" w:hAnsi="宋体" w:eastAsia="宋体" w:cs="宋体"/>
          <w:b/>
          <w:bCs/>
          <w:color w:val="auto"/>
          <w:sz w:val="21"/>
          <w:szCs w:val="21"/>
          <w:highlight w:val="none"/>
          <w:lang w:eastAsia="zh-CN"/>
        </w:rPr>
        <w:t>对成交供应商评价考核要求</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采购人每季度对成交供应商进行考核（具体考核内容见附件）。当期如有一次考核分数低于80分（不包括80分）时，采购人有权扣除当期服务费的5%-10%。三次考核低于80分，采购人有权解除合同。采购人有权根据实际工作制定或调整考核项目，调整考核项目后及时通知成交供应商。考核不达标，由项目经理到现场追踪并向院方提交整改方案，整改不满意达三次，采购人有权与成交供应商解除合同。</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2.成交供应商应认真履行职责，合理安排岗位，确保服务质量，员工应服从所在科室的领导。若因安排不当，人员不能到位而影响医院正常工作的，应承担其造成的后果，同时采购人按实扣减费用。</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3.采购人不定期对日常服务项目进行检查，在检查中对不合质量要求的人员，采购人有权提出更换。</w:t>
      </w:r>
    </w:p>
    <w:p>
      <w:pPr>
        <w:widowControl/>
        <w:spacing w:line="360" w:lineRule="auto"/>
        <w:ind w:firstLine="422" w:firstLineChars="200"/>
        <w:jc w:val="left"/>
        <w:rPr>
          <w:rFonts w:hint="eastAsia" w:ascii="宋体" w:hAnsi="宋体" w:cs="宋体"/>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七、其他要求</w:t>
      </w:r>
    </w:p>
    <w:p>
      <w:pPr>
        <w:widowControl/>
        <w:spacing w:line="360" w:lineRule="auto"/>
        <w:ind w:firstLine="420" w:firstLineChars="200"/>
        <w:jc w:val="left"/>
        <w:rPr>
          <w:rFonts w:hint="eastAsia"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1.该需求为最终签订合同要约条款基础，如需求没有而最终签订合同一般条款有的且涉及采购性质的内容，以最终合同一般条款内容为准。</w:t>
      </w:r>
    </w:p>
    <w:p>
      <w:pPr>
        <w:widowControl/>
        <w:spacing w:line="360" w:lineRule="auto"/>
        <w:ind w:firstLine="420" w:firstLineChars="200"/>
        <w:jc w:val="left"/>
        <w:rPr>
          <w:rFonts w:hint="eastAsia" w:ascii="宋体" w:hAnsi="宋体" w:cs="宋体"/>
          <w:bCs/>
          <w:color w:val="auto"/>
          <w:sz w:val="21"/>
          <w:szCs w:val="21"/>
          <w:highlight w:val="none"/>
          <w:lang w:val="en-US" w:eastAsia="zh-CN"/>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hint="eastAsia" w:ascii="宋体" w:hAnsi="宋体" w:cs="宋体"/>
          <w:bCs/>
          <w:color w:val="auto"/>
          <w:sz w:val="21"/>
          <w:szCs w:val="21"/>
          <w:highlight w:val="none"/>
          <w:lang w:val="en-US" w:eastAsia="zh-CN"/>
        </w:rPr>
        <w:t>2.采购人有权根据实际需求，据实调整服务内容。双方根据签订合同约定的服务费标准及实际服务项目另行协商确定，如涉及增项则最终增加的金额不得超过预算总额的10%。</w:t>
      </w:r>
    </w:p>
    <w:tbl>
      <w:tblPr>
        <w:tblStyle w:val="6"/>
        <w:tblW w:w="14474" w:type="dxa"/>
        <w:tblInd w:w="-318" w:type="dxa"/>
        <w:tblLayout w:type="autofit"/>
        <w:tblCellMar>
          <w:top w:w="0" w:type="dxa"/>
          <w:left w:w="108" w:type="dxa"/>
          <w:bottom w:w="0" w:type="dxa"/>
          <w:right w:w="108" w:type="dxa"/>
        </w:tblCellMar>
      </w:tblPr>
      <w:tblGrid>
        <w:gridCol w:w="709"/>
        <w:gridCol w:w="1417"/>
        <w:gridCol w:w="3685"/>
        <w:gridCol w:w="1984"/>
        <w:gridCol w:w="856"/>
        <w:gridCol w:w="2125"/>
        <w:gridCol w:w="2187"/>
        <w:gridCol w:w="1511"/>
      </w:tblGrid>
      <w:tr>
        <w:tblPrEx>
          <w:tblCellMar>
            <w:top w:w="0" w:type="dxa"/>
            <w:left w:w="108" w:type="dxa"/>
            <w:bottom w:w="0" w:type="dxa"/>
            <w:right w:w="108" w:type="dxa"/>
          </w:tblCellMar>
        </w:tblPrEx>
        <w:trPr>
          <w:trHeight w:val="43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3765" w:type="dxa"/>
            <w:gridSpan w:val="7"/>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天津市滨海新区中医医院电话及基础网络通讯服务管理考核表（202  年   月）</w:t>
            </w:r>
          </w:p>
        </w:tc>
      </w:tr>
      <w:tr>
        <w:tblPrEx>
          <w:tblCellMar>
            <w:top w:w="0" w:type="dxa"/>
            <w:left w:w="108" w:type="dxa"/>
            <w:bottom w:w="0" w:type="dxa"/>
            <w:right w:w="108" w:type="dxa"/>
          </w:tblCellMar>
        </w:tblPrEx>
        <w:trPr>
          <w:trHeight w:val="198" w:hRule="atLeast"/>
        </w:trPr>
        <w:tc>
          <w:tcPr>
            <w:tcW w:w="709"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序号</w:t>
            </w:r>
          </w:p>
        </w:tc>
        <w:tc>
          <w:tcPr>
            <w:tcW w:w="7086"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扣罚项</w:t>
            </w:r>
          </w:p>
        </w:tc>
        <w:tc>
          <w:tcPr>
            <w:tcW w:w="856"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项目分值</w:t>
            </w:r>
          </w:p>
        </w:tc>
        <w:tc>
          <w:tcPr>
            <w:tcW w:w="5823"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扣罚内容确认栏</w:t>
            </w:r>
          </w:p>
        </w:tc>
      </w:tr>
      <w:tr>
        <w:tblPrEx>
          <w:tblCellMar>
            <w:top w:w="0" w:type="dxa"/>
            <w:left w:w="108" w:type="dxa"/>
            <w:bottom w:w="0" w:type="dxa"/>
            <w:right w:w="108" w:type="dxa"/>
          </w:tblCellMar>
        </w:tblPrEx>
        <w:trPr>
          <w:trHeight w:val="433" w:hRule="atLeast"/>
        </w:trPr>
        <w:tc>
          <w:tcPr>
            <w:tcW w:w="709"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7086"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856"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时间地点</w:t>
            </w: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事项</w:t>
            </w: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扣分数</w:t>
            </w:r>
          </w:p>
        </w:tc>
      </w:tr>
      <w:tr>
        <w:tblPrEx>
          <w:tblCellMar>
            <w:top w:w="0" w:type="dxa"/>
            <w:left w:w="108" w:type="dxa"/>
            <w:bottom w:w="0" w:type="dxa"/>
            <w:right w:w="108" w:type="dxa"/>
          </w:tblCellMar>
        </w:tblPrEx>
        <w:trPr>
          <w:trHeight w:val="85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1</w:t>
            </w:r>
          </w:p>
        </w:tc>
        <w:tc>
          <w:tcPr>
            <w:tcW w:w="5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缺少设备设施日常检查及巡视记录、运维报告</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发现一项扣</w:t>
            </w:r>
            <w:r>
              <w:rPr>
                <w:rFonts w:ascii="仿宋_GB2312" w:hAnsi="宋体" w:eastAsia="仿宋_GB2312" w:cs="仿宋_GB2312"/>
                <w:color w:val="auto"/>
                <w:kern w:val="0"/>
                <w:sz w:val="24"/>
              </w:rPr>
              <w:t>2</w:t>
            </w:r>
            <w:r>
              <w:rPr>
                <w:rFonts w:hint="eastAsia" w:ascii="仿宋_GB2312" w:hAnsi="宋体" w:eastAsia="仿宋_GB2312" w:cs="仿宋_GB2312"/>
                <w:color w:val="auto"/>
                <w:kern w:val="0"/>
                <w:sz w:val="24"/>
              </w:rPr>
              <w:t>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1</w:t>
            </w:r>
            <w:r>
              <w:rPr>
                <w:rFonts w:ascii="仿宋_GB2312" w:hAnsi="宋体" w:eastAsia="仿宋_GB2312" w:cs="仿宋_GB2312"/>
                <w:color w:val="auto"/>
                <w:kern w:val="0"/>
                <w:sz w:val="24"/>
              </w:rPr>
              <w:t>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85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2</w:t>
            </w:r>
          </w:p>
        </w:tc>
        <w:tc>
          <w:tcPr>
            <w:tcW w:w="5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kern w:val="0"/>
                <w:sz w:val="24"/>
              </w:rPr>
            </w:pPr>
            <w:r>
              <w:rPr>
                <w:rFonts w:hint="eastAsia" w:ascii="仿宋_GB2312" w:hAnsi="宋体" w:eastAsia="仿宋_GB2312" w:cs="仿宋_GB2312"/>
                <w:color w:val="auto"/>
                <w:kern w:val="0"/>
                <w:sz w:val="24"/>
              </w:rPr>
              <w:t>因各类原因导致网络、电话通讯中断</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发现一项扣20分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20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3</w:t>
            </w:r>
          </w:p>
        </w:tc>
        <w:tc>
          <w:tcPr>
            <w:tcW w:w="5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因乙方服务不到位，导致引起各类投诉</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发现一项扣10分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20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4</w:t>
            </w:r>
          </w:p>
        </w:tc>
        <w:tc>
          <w:tcPr>
            <w:tcW w:w="1417" w:type="dxa"/>
            <w:vMerge w:val="restart"/>
            <w:tcBorders>
              <w:top w:val="single" w:color="000000" w:sz="4" w:space="0"/>
              <w:left w:val="single" w:color="000000" w:sz="4" w:space="0"/>
              <w:right w:val="single" w:color="auto" w:sz="4" w:space="0"/>
            </w:tcBorders>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故障处理</w:t>
            </w:r>
          </w:p>
        </w:tc>
        <w:tc>
          <w:tcPr>
            <w:tcW w:w="3685" w:type="dxa"/>
            <w:tcBorders>
              <w:top w:val="single" w:color="000000" w:sz="4" w:space="0"/>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未及时接听院内故障报修</w:t>
            </w:r>
          </w:p>
        </w:tc>
        <w:tc>
          <w:tcPr>
            <w:tcW w:w="1984"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发现一项扣5分</w:t>
            </w:r>
          </w:p>
        </w:tc>
        <w:tc>
          <w:tcPr>
            <w:tcW w:w="856" w:type="dxa"/>
            <w:vMerge w:val="restart"/>
            <w:tcBorders>
              <w:top w:val="single" w:color="000000" w:sz="4" w:space="0"/>
              <w:left w:val="single" w:color="000000" w:sz="4" w:space="0"/>
              <w:right w:val="single" w:color="000000" w:sz="4" w:space="0"/>
            </w:tcBorders>
            <w:vAlign w:val="center"/>
          </w:tcPr>
          <w:p>
            <w:pPr>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30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52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5</w:t>
            </w:r>
          </w:p>
        </w:tc>
        <w:tc>
          <w:tcPr>
            <w:tcW w:w="1417" w:type="dxa"/>
            <w:vMerge w:val="continue"/>
            <w:tcBorders>
              <w:left w:val="single" w:color="000000" w:sz="4" w:space="0"/>
              <w:right w:val="single" w:color="auto" w:sz="4" w:space="0"/>
            </w:tcBorders>
            <w:vAlign w:val="center"/>
          </w:tcPr>
          <w:p>
            <w:pPr>
              <w:widowControl/>
              <w:jc w:val="center"/>
              <w:textAlignment w:val="center"/>
              <w:rPr>
                <w:rFonts w:ascii="仿宋_GB2312" w:hAnsi="宋体" w:eastAsia="仿宋_GB2312" w:cs="仿宋_GB2312"/>
                <w:color w:val="auto"/>
                <w:sz w:val="24"/>
              </w:rPr>
            </w:pPr>
          </w:p>
        </w:tc>
        <w:tc>
          <w:tcPr>
            <w:tcW w:w="36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故障维修未按相应标准执行</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每次扣10分</w:t>
            </w:r>
          </w:p>
        </w:tc>
        <w:tc>
          <w:tcPr>
            <w:tcW w:w="856" w:type="dxa"/>
            <w:vMerge w:val="continue"/>
            <w:tcBorders>
              <w:left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57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6</w:t>
            </w:r>
          </w:p>
        </w:tc>
        <w:tc>
          <w:tcPr>
            <w:tcW w:w="1417" w:type="dxa"/>
            <w:vMerge w:val="continue"/>
            <w:tcBorders>
              <w:left w:val="single" w:color="000000" w:sz="4" w:space="0"/>
              <w:bottom w:val="single" w:color="000000" w:sz="4" w:space="0"/>
              <w:right w:val="single" w:color="auto" w:sz="4" w:space="0"/>
            </w:tcBorders>
            <w:vAlign w:val="center"/>
          </w:tcPr>
          <w:p>
            <w:pPr>
              <w:jc w:val="center"/>
              <w:rPr>
                <w:rFonts w:ascii="仿宋_GB2312" w:hAnsi="宋体" w:eastAsia="仿宋_GB2312" w:cs="仿宋_GB2312"/>
                <w:color w:val="auto"/>
                <w:sz w:val="24"/>
              </w:rPr>
            </w:pPr>
          </w:p>
        </w:tc>
        <w:tc>
          <w:tcPr>
            <w:tcW w:w="3685"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故障处理报告未提供</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每次扣5分</w:t>
            </w:r>
          </w:p>
        </w:tc>
        <w:tc>
          <w:tcPr>
            <w:tcW w:w="856" w:type="dxa"/>
            <w:vMerge w:val="continue"/>
            <w:tcBorders>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1140"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7</w:t>
            </w:r>
          </w:p>
        </w:tc>
        <w:tc>
          <w:tcPr>
            <w:tcW w:w="5102"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乙方服务人员技术水平、敬业态度不符合工作要求，医院要求更换而未更换</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每次扣5分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10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855" w:hRule="atLeast"/>
        </w:trPr>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8</w:t>
            </w:r>
          </w:p>
        </w:tc>
        <w:tc>
          <w:tcPr>
            <w:tcW w:w="5102"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因乙方不配合导致甲方应对各类检查无法通过</w:t>
            </w:r>
          </w:p>
        </w:tc>
        <w:tc>
          <w:tcPr>
            <w:tcW w:w="1984"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每次扣5分</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10</w:t>
            </w:r>
          </w:p>
        </w:tc>
        <w:tc>
          <w:tcPr>
            <w:tcW w:w="212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218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c>
          <w:tcPr>
            <w:tcW w:w="15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p>
        </w:tc>
      </w:tr>
      <w:tr>
        <w:tblPrEx>
          <w:tblCellMar>
            <w:top w:w="0" w:type="dxa"/>
            <w:left w:w="108" w:type="dxa"/>
            <w:bottom w:w="0" w:type="dxa"/>
            <w:right w:w="108" w:type="dxa"/>
          </w:tblCellMar>
        </w:tblPrEx>
        <w:trPr>
          <w:trHeight w:val="315" w:hRule="atLeast"/>
        </w:trPr>
        <w:tc>
          <w:tcPr>
            <w:tcW w:w="7795" w:type="dxa"/>
            <w:gridSpan w:val="4"/>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合计</w:t>
            </w:r>
          </w:p>
        </w:tc>
        <w:tc>
          <w:tcPr>
            <w:tcW w:w="85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auto"/>
                <w:sz w:val="24"/>
              </w:rPr>
            </w:pPr>
            <w:r>
              <w:rPr>
                <w:rFonts w:hint="eastAsia" w:ascii="仿宋_GB2312" w:hAnsi="宋体" w:eastAsia="仿宋_GB2312" w:cs="仿宋_GB2312"/>
                <w:color w:val="auto"/>
                <w:kern w:val="0"/>
                <w:sz w:val="24"/>
              </w:rPr>
              <w:t>100</w:t>
            </w:r>
          </w:p>
        </w:tc>
        <w:tc>
          <w:tcPr>
            <w:tcW w:w="5823"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宋体" w:eastAsia="仿宋_GB2312" w:cs="仿宋_GB2312"/>
                <w:color w:val="auto"/>
                <w:sz w:val="24"/>
              </w:rPr>
            </w:pPr>
            <w:r>
              <w:rPr>
                <w:rFonts w:hint="eastAsia" w:ascii="仿宋_GB2312" w:hAnsi="宋体" w:eastAsia="仿宋_GB2312" w:cs="仿宋_GB2312"/>
                <w:color w:val="auto"/>
                <w:sz w:val="24"/>
              </w:rPr>
              <w:t>考核最终得分：</w:t>
            </w:r>
          </w:p>
        </w:tc>
      </w:tr>
    </w:tbl>
    <w:p>
      <w:pPr>
        <w:pStyle w:val="2"/>
        <w:rPr>
          <w:rFonts w:hint="eastAsia"/>
          <w:color w:val="auto"/>
          <w:lang w:val="en-US" w:eastAsia="zh-CN"/>
        </w:rP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decimal"/>
          <w:cols w:space="720"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hujtQrAgAAV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DYbo7UKwIAAFUEAAAOAAAAAAAAAAEAIAAAAB8BAABkcnMvZTJvRG9jLnhtbFBLBQYAAAAABgAG&#10;AFkBAAC8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hint="eastAsia"/>
      </w:rPr>
    </w:pPr>
  </w:p>
  <w:p>
    <w:pPr>
      <w:pStyle w:val="5"/>
      <w:jc w:val="both"/>
      <w:rPr>
        <w:rFonts w:hint="eastAsia"/>
      </w:rPr>
    </w:pPr>
  </w:p>
  <w:p>
    <w:pPr>
      <w:pStyle w:val="5"/>
      <w:jc w:val="both"/>
      <w:rPr>
        <w:rFonts w:hint="eastAsia"/>
      </w:rPr>
    </w:pPr>
    <w:r>
      <w:rPr>
        <w:rFonts w:hint="eastAsia"/>
      </w:rPr>
      <w:t>竞争性磋商文件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mUwMmVjNjU2YzcwMDFmMzY3NzA5Mjc3MGE3YTQifQ=="/>
  </w:docVars>
  <w:rsids>
    <w:rsidRoot w:val="29A322B1"/>
    <w:rsid w:val="29A32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220" w:after="210" w:line="578" w:lineRule="auto"/>
      <w:ind w:leftChars="300"/>
      <w:jc w:val="center"/>
      <w:outlineLvl w:val="0"/>
    </w:pPr>
    <w:rPr>
      <w:rFonts w:ascii="Times New Roman" w:hAnsi="Times New Roman" w:eastAsia="宋体"/>
      <w:b/>
      <w:bCs/>
      <w:kern w:val="44"/>
      <w:sz w:val="32"/>
      <w:szCs w:val="44"/>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kern w:val="0"/>
      <w:sz w:val="20"/>
      <w:szCs w:val="24"/>
    </w:rPr>
  </w:style>
  <w:style w:type="paragraph" w:styleId="4">
    <w:name w:val="footer"/>
    <w:basedOn w:val="1"/>
    <w:qFormat/>
    <w:uiPriority w:val="0"/>
    <w:pPr>
      <w:tabs>
        <w:tab w:val="center" w:pos="4153"/>
        <w:tab w:val="right" w:pos="8306"/>
      </w:tabs>
      <w:snapToGrid w:val="0"/>
      <w:jc w:val="left"/>
    </w:pPr>
    <w:rPr>
      <w:kern w:val="0"/>
      <w:sz w:val="18"/>
    </w:rPr>
  </w:style>
  <w:style w:type="paragraph" w:styleId="5">
    <w:name w:val="header"/>
    <w:basedOn w:val="1"/>
    <w:qFormat/>
    <w:uiPriority w:val="0"/>
    <w:pPr>
      <w:pBdr>
        <w:bottom w:val="single" w:color="auto" w:sz="6" w:space="1"/>
      </w:pBdr>
      <w:tabs>
        <w:tab w:val="center" w:pos="4153"/>
        <w:tab w:val="right" w:pos="8306"/>
      </w:tabs>
      <w:snapToGrid w:val="0"/>
      <w:jc w:val="center"/>
    </w:pPr>
    <w:rPr>
      <w:kern w:val="0"/>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2024-06-05T00:52:00Z</dcterms:created>
  <dc:creator> lucky</dc:creator>
  <cp:lastModifiedBy> lucky</cp:lastModifiedBy>
  <dcterms:modified xsi:type="dcterms:W3CDTF">2024-06-05T00:54:11Z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31638104910A42E0917E2B8794FD0184_11</vt:lpwstr>
  </property>
</Properties>
</file>