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numId w:val="0"/>
        </w:numPr>
        <w:kinsoku/>
        <w:wordWrap/>
        <w:overflowPunct/>
        <w:topLinePunct w:val="0"/>
        <w:bidi w:val="0"/>
        <w:snapToGrid w:val="0"/>
        <w:spacing w:line="360" w:lineRule="auto"/>
        <w:ind w:left="420" w:leftChars="0"/>
        <w:jc w:val="center"/>
        <w:textAlignment w:val="auto"/>
        <w:rPr>
          <w:rFonts w:hint="default" w:ascii="宋体" w:hAnsi="宋体" w:eastAsia="宋体" w:cs="宋体"/>
          <w:b/>
          <w:bCs/>
          <w:color w:val="auto"/>
          <w:sz w:val="30"/>
          <w:szCs w:val="30"/>
          <w:highlight w:val="none"/>
          <w:lang w:val="en-US" w:eastAsia="zh-CN"/>
        </w:rPr>
      </w:pPr>
      <w:bookmarkStart w:id="1" w:name="_GoBack"/>
      <w:r>
        <w:rPr>
          <w:rFonts w:hint="eastAsia" w:ascii="宋体" w:hAnsi="宋体" w:eastAsia="宋体" w:cs="宋体"/>
          <w:b/>
          <w:bCs/>
          <w:color w:val="auto"/>
          <w:sz w:val="30"/>
          <w:szCs w:val="30"/>
          <w:highlight w:val="none"/>
          <w:lang w:val="en-US" w:eastAsia="zh-CN"/>
        </w:rPr>
        <w:t>天津市滨海新区中医医院红外偏振光线治疗仪、中药熏蒸床设备采购项目需求书</w:t>
      </w:r>
    </w:p>
    <w:bookmarkEnd w:id="1"/>
    <w:p>
      <w:pPr>
        <w:pStyle w:val="11"/>
        <w:keepNext w:val="0"/>
        <w:keepLines w:val="0"/>
        <w:pageBreakBefore w:val="0"/>
        <w:widowControl w:val="0"/>
        <w:numPr>
          <w:ilvl w:val="0"/>
          <w:numId w:val="1"/>
        </w:numPr>
        <w:kinsoku/>
        <w:wordWrap/>
        <w:overflowPunct/>
        <w:topLinePunct w:val="0"/>
        <w:bidi w:val="0"/>
        <w:snapToGrid w:val="0"/>
        <w:spacing w:line="360" w:lineRule="auto"/>
        <w:ind w:left="0" w:leftChars="0" w:firstLine="42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红外偏振光线治疗仪</w:t>
      </w:r>
    </w:p>
    <w:tbl>
      <w:tblPr>
        <w:tblStyle w:val="9"/>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350"/>
        <w:gridCol w:w="217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拟购置医疗设备名称</w:t>
            </w:r>
          </w:p>
        </w:tc>
        <w:tc>
          <w:tcPr>
            <w:tcW w:w="58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红外</w:t>
            </w:r>
            <w:r>
              <w:rPr>
                <w:rFonts w:hint="eastAsia" w:ascii="宋体" w:hAnsi="宋体" w:eastAsia="宋体" w:cs="宋体"/>
                <w:color w:val="auto"/>
                <w:sz w:val="24"/>
                <w:szCs w:val="24"/>
                <w:highlight w:val="none"/>
                <w:lang w:eastAsia="zh-CN"/>
              </w:rPr>
              <w:t>偏</w:t>
            </w:r>
            <w:r>
              <w:rPr>
                <w:rFonts w:hint="eastAsia" w:ascii="宋体" w:hAnsi="宋体" w:eastAsia="宋体" w:cs="宋体"/>
                <w:color w:val="auto"/>
                <w:sz w:val="24"/>
                <w:szCs w:val="24"/>
                <w:highlight w:val="none"/>
                <w:lang w:val="en-US" w:eastAsia="zh-CN"/>
              </w:rPr>
              <w:t>振</w:t>
            </w:r>
            <w:r>
              <w:rPr>
                <w:rFonts w:hint="eastAsia" w:ascii="宋体" w:hAnsi="宋体" w:eastAsia="宋体" w:cs="宋体"/>
                <w:color w:val="auto"/>
                <w:sz w:val="24"/>
                <w:szCs w:val="24"/>
                <w:highlight w:val="none"/>
                <w:lang w:eastAsia="zh-CN"/>
              </w:rPr>
              <w:t>光线</w:t>
            </w:r>
            <w:r>
              <w:rPr>
                <w:rFonts w:hint="eastAsia" w:ascii="宋体" w:hAnsi="宋体" w:eastAsia="宋体" w:cs="宋体"/>
                <w:color w:val="auto"/>
                <w:sz w:val="24"/>
                <w:szCs w:val="24"/>
                <w:highlight w:val="none"/>
                <w:lang w:val="en-US" w:eastAsia="zh-CN"/>
              </w:rPr>
              <w:t>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数量（台/套）</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2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国产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预算单价（万元）</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预算总价（万元）</w:t>
            </w:r>
          </w:p>
        </w:tc>
        <w:tc>
          <w:tcPr>
            <w:tcW w:w="2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技术参数要求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双路独立输出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可同时治疗两人，</w:t>
      </w:r>
      <w:r>
        <w:rPr>
          <w:rFonts w:hint="eastAsia" w:ascii="宋体" w:hAnsi="宋体" w:eastAsia="宋体" w:cs="宋体"/>
          <w:b w:val="0"/>
          <w:bCs w:val="0"/>
          <w:color w:val="auto"/>
          <w:sz w:val="24"/>
          <w:szCs w:val="24"/>
          <w:highlight w:val="none"/>
        </w:rPr>
        <w:t>治疗臂</w:t>
      </w:r>
      <w:r>
        <w:rPr>
          <w:rFonts w:hint="eastAsia" w:ascii="宋体" w:hAnsi="宋体" w:eastAsia="宋体" w:cs="宋体"/>
          <w:b w:val="0"/>
          <w:bCs w:val="0"/>
          <w:color w:val="auto"/>
          <w:sz w:val="24"/>
          <w:szCs w:val="24"/>
          <w:highlight w:val="none"/>
          <w:lang w:val="en-US" w:eastAsia="zh-CN"/>
        </w:rPr>
        <w:t>自由旋转</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偏振光导光系统材料石英光棒导光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光谱范围：集射式照射头输出光谱范围应为0.7μm</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1.6μm；散射式照射头输出光谱范围应为0.7μm</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2.5μm；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集射式照射头最大输出光功率应为1500×(1±15%)mw；散射式照射头输出功率范围为3w</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25w；</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输出模式：连续/间歇；多种间歇模式（≥9种）可供选择；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输出控制：间歇输出功率控制分十档可调，步距为10%；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治疗时间：治疗仪最大连续工作时间为30min,应能在1min～30min范围内、步距为1min分档设置治疗时间，30min档时误差±10s；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采用节能光源；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治疗头外壳温度：≤ 41℃</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商务要求（资质要求、交货时间、售后服务等）：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一、供应商资质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0" w:name="OLE_LINK5"/>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财务状况报告等相关材料：提供202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年至少1个月的依法缴纳税收和社会保险费的相关证明材料扫描件或复印件并加盖公章。</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（五）本项目不接受联合体参加磋商，供应商须提供《非联合体磋商声明函》并加盖公章。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1.交货时间：合同签订之日起十个工作日内安装调试完毕（具体情况以合同为准）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2.交货地点：天津市滨海新区中医医院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.未经采购人同意，成交供应商不得转让合同、转包或分包。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.供应商须整包进行磋商，不得拆包分项响应。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pacing w:val="8"/>
          <w:sz w:val="24"/>
          <w:szCs w:val="24"/>
          <w:highlight w:val="none"/>
          <w:shd w:val="clear" w:color="auto" w:fill="FFFFFF"/>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宋体" w:hAnsi="宋体" w:eastAsia="宋体" w:cs="宋体"/>
          <w:color w:val="auto"/>
          <w:spacing w:val="8"/>
          <w:sz w:val="24"/>
          <w:szCs w:val="24"/>
          <w:highlight w:val="none"/>
          <w:shd w:val="clear" w:color="auto" w:fill="FFFFFF"/>
          <w:lang w:val="en-US" w:eastAsia="zh-CN"/>
        </w:rPr>
        <w:t>并加盖供应商公章</w:t>
      </w:r>
      <w:r>
        <w:rPr>
          <w:rFonts w:hint="eastAsia" w:ascii="宋体" w:hAnsi="宋体" w:eastAsia="宋体" w:cs="宋体"/>
          <w:color w:val="auto"/>
          <w:spacing w:val="8"/>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textAlignment w:val="auto"/>
        <w:rPr>
          <w:rFonts w:hint="eastAsia" w:ascii="宋体" w:hAnsi="宋体" w:eastAsia="宋体" w:cs="宋体"/>
          <w:color w:val="auto"/>
          <w:spacing w:val="8"/>
          <w:sz w:val="24"/>
          <w:szCs w:val="24"/>
          <w:highlight w:val="none"/>
          <w:shd w:val="clear" w:color="auto" w:fill="FFFFFF"/>
          <w:lang w:val="en-US" w:eastAsia="zh-CN"/>
        </w:rPr>
      </w:pPr>
      <w:r>
        <w:rPr>
          <w:rFonts w:hint="eastAsia" w:ascii="宋体" w:hAnsi="宋体" w:eastAsia="宋体" w:cs="宋体"/>
          <w:color w:val="auto"/>
          <w:spacing w:val="8"/>
          <w:sz w:val="24"/>
          <w:szCs w:val="24"/>
          <w:highlight w:val="none"/>
          <w:shd w:val="clear" w:color="auto" w:fill="FFFFFF"/>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货到现场安装调试完毕，验收合格后15个工作日内支付合同总价款的90%，自验收之日起1年后15个工作日内支付合同总额的10%（特殊情况以合同为准）。</w:t>
      </w:r>
    </w:p>
    <w:p>
      <w:pPr>
        <w:pStyle w:val="2"/>
        <w:keepNext w:val="0"/>
        <w:keepLines w:val="0"/>
        <w:pageBreakBefore w:val="0"/>
        <w:kinsoku/>
        <w:wordWrap/>
        <w:overflowPunct/>
        <w:topLinePunct w:val="0"/>
        <w:bidi w:val="0"/>
        <w:snapToGrid w:val="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rPr>
        <w:t>货到现场安装调试完毕，验收合格后15个工作日内支付合同总价款的90%，自验收之日起1年后15个工作日内支付合同总额的10%。（特殊情况以合同为准）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第四部分：是否有配套耗材：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有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其他要求：</w:t>
      </w:r>
    </w:p>
    <w:p>
      <w:pPr>
        <w:pStyle w:val="11"/>
        <w:keepNext w:val="0"/>
        <w:keepLines w:val="0"/>
        <w:pageBreakBefore w:val="0"/>
        <w:widowControl w:val="0"/>
        <w:numPr>
          <w:ilvl w:val="0"/>
          <w:numId w:val="0"/>
        </w:numPr>
        <w:kinsoku/>
        <w:wordWrap/>
        <w:overflowPunct/>
        <w:topLinePunct w:val="0"/>
        <w:bidi w:val="0"/>
        <w:snapToGrid w:val="0"/>
        <w:spacing w:line="360" w:lineRule="auto"/>
        <w:ind w:left="420" w:lef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pPr>
        <w:pStyle w:val="11"/>
        <w:keepNext w:val="0"/>
        <w:keepLines w:val="0"/>
        <w:pageBreakBefore w:val="0"/>
        <w:widowControl w:val="0"/>
        <w:numPr>
          <w:ilvl w:val="0"/>
          <w:numId w:val="0"/>
        </w:numPr>
        <w:kinsoku/>
        <w:wordWrap/>
        <w:overflowPunct/>
        <w:topLinePunct w:val="0"/>
        <w:bidi w:val="0"/>
        <w:snapToGrid w:val="0"/>
        <w:spacing w:line="360" w:lineRule="auto"/>
        <w:ind w:left="420" w:leftChars="0"/>
        <w:jc w:val="both"/>
        <w:textAlignment w:val="auto"/>
        <w:rPr>
          <w:rFonts w:hint="eastAsia" w:ascii="宋体" w:hAnsi="宋体" w:eastAsia="宋体" w:cs="宋体"/>
          <w:color w:val="auto"/>
          <w:sz w:val="24"/>
          <w:szCs w:val="24"/>
          <w:highlight w:val="none"/>
          <w:lang w:eastAsia="zh-CN"/>
        </w:rPr>
      </w:pPr>
    </w:p>
    <w:p>
      <w:pPr>
        <w:pStyle w:val="11"/>
        <w:keepNext w:val="0"/>
        <w:keepLines w:val="0"/>
        <w:pageBreakBefore w:val="0"/>
        <w:widowControl w:val="0"/>
        <w:numPr>
          <w:ilvl w:val="0"/>
          <w:numId w:val="0"/>
        </w:numPr>
        <w:kinsoku/>
        <w:wordWrap/>
        <w:overflowPunct/>
        <w:topLinePunct w:val="0"/>
        <w:bidi w:val="0"/>
        <w:snapToGrid w:val="0"/>
        <w:spacing w:line="360" w:lineRule="auto"/>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（二）中药熏蒸床</w:t>
      </w:r>
    </w:p>
    <w:tbl>
      <w:tblPr>
        <w:tblStyle w:val="9"/>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467"/>
        <w:gridCol w:w="227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38"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拟购置医疗设备名称</w:t>
            </w:r>
          </w:p>
        </w:tc>
        <w:tc>
          <w:tcPr>
            <w:tcW w:w="5887" w:type="dxa"/>
            <w:gridSpan w:val="3"/>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中药熏蒸床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38"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数量（台/套）</w:t>
            </w:r>
          </w:p>
        </w:tc>
        <w:tc>
          <w:tcPr>
            <w:tcW w:w="146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279"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2141"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国产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进口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8"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预算单价（万元）</w:t>
            </w:r>
          </w:p>
        </w:tc>
        <w:tc>
          <w:tcPr>
            <w:tcW w:w="1467"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27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预算总价（万元）</w:t>
            </w:r>
          </w:p>
        </w:tc>
        <w:tc>
          <w:tcPr>
            <w:tcW w:w="2141"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技术参数要求</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1.额定输入功率≥1500W。</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2.床体尺寸（长宽高）：2010×720×1070mm，允差±10%。</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3.操作台尺寸（长宽高）：460×370×860mm，允差±10%。</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4.治疗温度：可在1～99℃范围设定，室温～45℃为熏蒸温度，允差为±5℃，46～99℃为煎药温度。</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5.治疗时间：1～99min，允差±30s，治疗时间到，有蜂鸣提示，加热装置自动断电。</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6.上水方式：自动，加热锅容积：5L。</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★7.具有中药药液雾化功能：单区雾化量≥40mL/h。</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8.微电脑控制操作系统，具有自动定时、自动控温、自动漏电保护、过载保护，治疗结束自动提示。</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9.舱内具有单独停止加热按钮。</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10.熏蒸加热区：三区独立控制，加热方式为厚膜管状加热器。</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11.具有双重超温保护功能，具备高温报警功能。</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12.熏蒸面积：≥1530×340mm，≥10块熏蒸垫可任意组合。</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13.自动吹送蒸汽，多风道设计。</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14.治疗机具有防干烧装置。</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15.独立的操作控制台，机电分离式设计。</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16.具有臭氧消毒功能。</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17.具有工作状态提示、多重故障自检错误代码显示功能。</w:t>
      </w:r>
    </w:p>
    <w:p>
      <w:pPr>
        <w:keepNext w:val="0"/>
        <w:keepLines w:val="0"/>
        <w:pageBreakBefore w:val="0"/>
        <w:kinsoku/>
        <w:wordWrap/>
        <w:overflowPunct/>
        <w:topLinePunct w:val="0"/>
        <w:autoSpaceDE/>
        <w:autoSpaceDN/>
        <w:bidi w:val="0"/>
        <w:adjustRightInd w:val="0"/>
        <w:snapToGrid w:val="0"/>
        <w:spacing w:line="360" w:lineRule="auto"/>
        <w:ind w:left="0" w:leftChars="0" w:firstLine="51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shd w:val="clear" w:color="auto" w:fill="FFFFFF"/>
          <w:lang w:val="en-US" w:eastAsia="zh-CN"/>
        </w:rPr>
        <w:t>★条款为实质性条款，不符合将导致投标文件被拒绝</w:t>
      </w:r>
    </w:p>
    <w:p>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w:t>
      </w:r>
      <w:r>
        <w:rPr>
          <w:rFonts w:hint="eastAsia" w:ascii="宋体" w:hAnsi="宋体" w:eastAsia="宋体" w:cs="宋体"/>
          <w:color w:val="auto"/>
          <w:kern w:val="2"/>
          <w:sz w:val="24"/>
          <w:szCs w:val="24"/>
          <w:highlight w:val="none"/>
          <w:lang w:val="en-US" w:eastAsia="zh-CN" w:bidi="ar-SA"/>
        </w:rPr>
        <w:t>商</w:t>
      </w:r>
      <w:r>
        <w:rPr>
          <w:rFonts w:hint="eastAsia" w:ascii="宋体" w:hAnsi="宋体" w:eastAsia="宋体" w:cs="宋体"/>
          <w:color w:val="auto"/>
          <w:sz w:val="24"/>
          <w:szCs w:val="24"/>
          <w:highlight w:val="none"/>
        </w:rPr>
        <w:t>务要求（资质要求、交货时间、售后服务等）：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一、供应商资质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参加本项目磋商的供应商应在响应文件中提供以下证明材料：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（二）供应商须具备《中华人民共和国政府采购法》第二十二条第一款规定的条件，提供以下材料：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营业执照副本或事业单位法人证书或民办非企业单位登记证书或社会团体法人登记证书或基金会法人登记证书扫描件或复印件并加盖公章。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财务状况报告等相关材料：提供202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年至少1个月的依法缴纳税收和社会保险费的相关证明材料扫描件或复印件并加盖公章。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提交响应文件截止日前3年在经营活动中没有重大违法记录的书面声明（提交响应文件截止日前成立不足3年的供应商可提供自成立以来无重大违法记录的书面声明）并加盖公章。</w:t>
      </w:r>
    </w:p>
    <w:p>
      <w:pPr>
        <w:pStyle w:val="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（五）本项目不接受联合体参加磋商，供应商须提供《非联合体磋商声明函》并加盖公章。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1.交货时间：合同签订之日起十个工作日内安装调试完毕（具体情况以合同为准）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2.交货地点：天津市滨海新区中医医院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.由于设备的质量和安全问题造成的损失和人员伤亡事故由成交供应商负责赔偿，相关的损失及责任均由成交供应商自行承担。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.在任何时候，成交供应商均不能免除因设备本身的缺陷所应付的责任。成交供应商有义务对所提供的货物实行终身维护和对设备进行定期的检测与维护。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.未经采购人同意，成交供应商不得转让合同、转包或分包。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.供应商须整包进行磋商，不得拆包分项响应。 </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outlineLvl w:val="9"/>
        <w:rPr>
          <w:rFonts w:hint="eastAsia" w:ascii="宋体" w:hAnsi="宋体" w:eastAsia="宋体" w:cs="宋体"/>
          <w:color w:val="auto"/>
          <w:spacing w:val="8"/>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pacing w:val="8"/>
          <w:sz w:val="24"/>
          <w:szCs w:val="24"/>
          <w:highlight w:val="none"/>
          <w:shd w:val="clear" w:color="auto" w:fill="FFFFFF"/>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宋体" w:hAnsi="宋体" w:eastAsia="宋体" w:cs="宋体"/>
          <w:color w:val="auto"/>
          <w:spacing w:val="8"/>
          <w:sz w:val="24"/>
          <w:szCs w:val="24"/>
          <w:highlight w:val="none"/>
          <w:shd w:val="clear" w:color="auto" w:fill="FFFFFF"/>
          <w:lang w:val="en-US" w:eastAsia="zh-CN"/>
        </w:rPr>
        <w:t>并加盖供应商公章</w:t>
      </w:r>
      <w:r>
        <w:rPr>
          <w:rFonts w:hint="eastAsia" w:ascii="宋体" w:hAnsi="宋体" w:eastAsia="宋体" w:cs="宋体"/>
          <w:color w:val="auto"/>
          <w:spacing w:val="8"/>
          <w:sz w:val="24"/>
          <w:szCs w:val="24"/>
          <w:highlight w:val="none"/>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12" w:firstLineChars="200"/>
        <w:jc w:val="left"/>
        <w:textAlignment w:val="auto"/>
        <w:outlineLvl w:val="9"/>
        <w:rPr>
          <w:rFonts w:hint="eastAsia" w:ascii="宋体" w:hAnsi="宋体" w:eastAsia="宋体" w:cs="宋体"/>
          <w:color w:val="auto"/>
          <w:spacing w:val="8"/>
          <w:sz w:val="24"/>
          <w:szCs w:val="24"/>
          <w:highlight w:val="none"/>
          <w:shd w:val="clear" w:color="auto" w:fill="FFFFFF"/>
          <w:lang w:val="en-US" w:eastAsia="zh-CN"/>
        </w:rPr>
      </w:pPr>
      <w:r>
        <w:rPr>
          <w:rFonts w:hint="eastAsia" w:ascii="宋体" w:hAnsi="宋体" w:eastAsia="宋体" w:cs="宋体"/>
          <w:color w:val="auto"/>
          <w:spacing w:val="8"/>
          <w:sz w:val="24"/>
          <w:szCs w:val="24"/>
          <w:highlight w:val="none"/>
          <w:shd w:val="clear" w:color="auto" w:fill="FFFFFF"/>
          <w:lang w:val="en-US" w:eastAsia="zh-CN"/>
        </w:rPr>
        <w:t>★10.根据《医疗器械监督管理条例》的规定，投标人所投产品如属于第一类医疗器械，须提供医疗器械备案证明文件复印件并加盖公章，投标人所投产品如属于第二类或第三类医疗器械，须具备食品药品监督管理局颁发的在有效期内的中华人民共和国医疗器械注册证，提供证书复印件并加盖公章。（本条款为★条款，不符合将导致投标文件被拒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第三部分：付款方式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货到现场安装调试完毕，验收合格后 15 个工作日内支付合同总价款的90%，自验收之日起 1 年后 15 个工作日内支付合同总额的 10%（特殊 情况以合同为准）。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第四部分：是否有配套耗材：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有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无</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其他要求：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pPr>
      <w:r>
        <w:rPr>
          <w:rFonts w:hint="eastAsia" w:ascii="宋体" w:hAnsi="宋体" w:eastAsia="宋体" w:cs="宋体"/>
          <w:color w:val="auto"/>
          <w:sz w:val="24"/>
          <w:szCs w:val="24"/>
          <w:highlight w:val="none"/>
        </w:rPr>
        <w:t>注：加注“★”号条款为实质性条款，不得出现负偏离，发生负偏离即做无效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处理。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AA816"/>
    <w:multiLevelType w:val="multilevel"/>
    <w:tmpl w:val="291AA81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2EF80078"/>
    <w:rsid w:val="2EF8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Body Text"/>
    <w:basedOn w:val="1"/>
    <w:next w:val="1"/>
    <w:uiPriority w:val="0"/>
    <w:rPr>
      <w:sz w:val="32"/>
    </w:rPr>
  </w:style>
  <w:style w:type="paragraph" w:styleId="4">
    <w:name w:val="Body Text Indent"/>
    <w:basedOn w:val="1"/>
    <w:next w:val="3"/>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0"/>
    </w:rPr>
  </w:style>
  <w:style w:type="paragraph" w:styleId="8">
    <w:name w:val="Body Text First Indent 2"/>
    <w:basedOn w:val="4"/>
    <w:next w:val="1"/>
    <w:unhideWhenUsed/>
    <w:qFormat/>
    <w:uiPriority w:val="99"/>
    <w:pPr>
      <w:tabs>
        <w:tab w:val="left" w:pos="480"/>
      </w:tabs>
      <w:ind w:firstLine="420" w:firstLineChars="200"/>
    </w:pPr>
    <w:rPr>
      <w:rFonts w:ascii="Calibri" w:hAnsi="Calibri"/>
      <w:sz w:val="21"/>
      <w:szCs w:val="22"/>
      <w:lang w:val="en-US" w:eastAsia="zh-CN" w:bidi="ar-SA"/>
    </w:rPr>
  </w:style>
  <w:style w:type="paragraph" w:customStyle="1" w:styleId="11">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2024-07-10T01:44:00Z</dcterms:created>
  <dc:creator>WPS_1547029868</dc:creator>
  <cp:lastModifiedBy>WPS_1547029868</cp:lastModifiedBy>
  <dcterms:modified xsi:type="dcterms:W3CDTF">2024-07-10T01:45:41Z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BC1176FEF3774591A4AD68C0083EC419_11</vt:lpwstr>
  </property>
</Properties>
</file>