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imes New Roman" w:hAnsi="Times New Roman" w:eastAsia="宋体" w:cs="Times New Roman"/>
          <w:color w:val="auto"/>
          <w:highlight w:val="none"/>
          <w:lang w:eastAsia="zh-CN"/>
        </w:rPr>
      </w:pPr>
      <w:bookmarkStart w:id="1" w:name="_GoBack"/>
      <w:r>
        <w:rPr>
          <w:rFonts w:hint="eastAsia" w:ascii="Times New Roman" w:hAnsi="Times New Roman" w:eastAsia="宋体" w:cs="Times New Roman"/>
          <w:color w:val="auto"/>
          <w:highlight w:val="none"/>
          <w:lang w:val="en-US" w:eastAsia="zh-CN"/>
        </w:rPr>
        <w:t>天津市滨海新区中医医院七氟丙烷气体灭火系统检测服务项目需求书</w:t>
      </w:r>
    </w:p>
    <w:bookmarkEnd w:id="1"/>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一、项目背景</w:t>
      </w:r>
    </w:p>
    <w:p>
      <w:pPr>
        <w:pStyle w:val="5"/>
        <w:spacing w:line="500" w:lineRule="exact"/>
        <w:ind w:firstLine="640"/>
        <w:rPr>
          <w:rFonts w:hint="eastAsia" w:ascii="仿宋_GB2312" w:hAnsi="微软雅黑" w:eastAsia="仿宋_GB2312"/>
          <w:color w:val="000000"/>
          <w:sz w:val="30"/>
          <w:szCs w:val="30"/>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天津市滨海新区中医医院暨天津中医药大学第四附属医院北塘院区共有七氟丙烷气体灭火系统8各点位（详见附件）43个七氟丙烷气瓶，10个氮气驱动瓶，本项目要求供应商对七氟丙烷气瓶及其附属设施进行检测，出具检测报告，并恢复灭火系统装置，进行模拟联动测试，达到使用状态</w:t>
      </w:r>
      <w:r>
        <w:rPr>
          <w:rFonts w:hint="eastAsia" w:ascii="仿宋_GB2312" w:hAnsi="微软雅黑" w:eastAsia="仿宋_GB2312"/>
          <w:color w:val="000000"/>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bookmarkStart w:id="0" w:name="_Toc522869424"/>
      <w:r>
        <w:rPr>
          <w:rFonts w:hint="eastAsia" w:asciiTheme="minorEastAsia" w:hAnsiTheme="minorEastAsia" w:eastAsiaTheme="minorEastAsia" w:cstheme="minorEastAsia"/>
          <w:color w:val="auto"/>
          <w:sz w:val="21"/>
          <w:szCs w:val="21"/>
          <w:highlight w:val="none"/>
          <w:lang w:val="en-US" w:eastAsia="zh-CN"/>
        </w:rPr>
        <w:t>二、资格要求</w:t>
      </w:r>
      <w:bookmarkEnd w:id="0"/>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参加本项目磋商的供应商应在响应文件中提供以下证明材料：</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（一）供应商具备《中华人民共和国政府采购法》第二十二条第一款规定的条件，提供以下材料：</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1、营业执照副本或事业单位法人证书或民办非企业单位登记证书或社会团体法人登记证书或基金会法人登记证书扫描件或复印件并加盖公章。</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财务状况报告等相关材料：提供2022或2023年年度经第三方会计师事务所审计的企业财务报告扫描件（应包括完整的审计报告和财务报表），或提交响应文件截止日期前近3个月内银行出具的资信证明复印件并加盖公章。</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3、本年度至少1个月的依法缴纳税收和社会保险费的相关证明材料扫描件或复印件并加盖公章。</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4、提交响应文件截止日前3年在经营活动中没有重大违法记录的书面声明（提交响应文件截止日前成立不足3年的供应商可提供自成立以来无重大违法记录的书面声明）并加盖公章。</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5、供应商自身具备或委托其他公司进行钢瓶检测的，应提供以下证明材料：</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（1）被委托检测机构具备钢瓶检验资质（中华人民共和国特种设备检验检测机构核准证）等相关许可，提供检测机构的证明材料复印件。</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（2）被委托检测机构具备省级及以上行政主管部分核准颁发的《特种设备检验检测机构核准证》；</w:t>
      </w:r>
    </w:p>
    <w:p>
      <w:pPr>
        <w:pStyle w:val="6"/>
        <w:spacing w:line="360" w:lineRule="auto"/>
        <w:ind w:firstLine="44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（3）具有特种设备检验检测人员职业注册证；</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本项目不接受联合体磋商</w:t>
      </w:r>
      <w:r>
        <w:rPr>
          <w:rFonts w:hint="eastAsia" w:ascii="宋体" w:hAnsi="宋体" w:eastAsia="宋体" w:cs="宋体"/>
          <w:color w:val="auto"/>
          <w:sz w:val="21"/>
          <w:szCs w:val="21"/>
          <w:highlight w:val="none"/>
          <w:lang w:val="en-US" w:eastAsia="zh-CN"/>
        </w:rPr>
        <w:t>，供应商须提供《非联合体投标声明函》并加盖公章。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）落实政府采购政策需满足的资格要求</w:t>
      </w:r>
      <w:r>
        <w:rPr>
          <w:rFonts w:hint="eastAsia" w:ascii="宋体" w:hAnsi="宋体" w:cs="宋体"/>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（1）促进中小企业发展政策。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根据财政部、工业和信息化部发布的关于《政府采购促进中小企业发展管理办法》（财库﹝2020﹞46 号）和财政部关于《进一步加大政府采购支持中小企业力度》的通知（财库〔2022〕19号）规定，</w:t>
      </w:r>
      <w:r>
        <w:rPr>
          <w:rFonts w:hint="eastAsia" w:ascii="宋体" w:hAnsi="宋体" w:cs="宋体"/>
          <w:b/>
          <w:bCs/>
          <w:color w:val="auto"/>
          <w:kern w:val="2"/>
          <w:sz w:val="21"/>
          <w:szCs w:val="21"/>
          <w:highlight w:val="none"/>
          <w:lang w:val="en-US" w:eastAsia="zh-CN"/>
        </w:rPr>
        <w:t>本项目专门面向中小企业采购</w:t>
      </w:r>
      <w:r>
        <w:rPr>
          <w:rFonts w:hint="eastAsia" w:ascii="宋体" w:hAnsi="宋体" w:cs="宋体"/>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 支持监狱企业发展政策。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支持监狱企业发展政策明细：根据财政部发布的《关于政府采购支持监狱企业发展有关问题的通知》（财库【2014】68号）规定，监狱企业视同小微企业。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（3）促进残疾人就业政策。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促进残疾人就业政策明细：根据财政部、民政部、中国残疾人联合会发布的《关于促进残疾人就业政府采购政策的通知》（财库【2017】141号）规定，残疾人福利性单位视同小微企业。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政府采购节能、环境标志品目清单内的产品实施优先采购和强制采购的评审方法。</w:t>
      </w:r>
    </w:p>
    <w:p>
      <w:pPr>
        <w:pStyle w:val="6"/>
        <w:spacing w:line="360" w:lineRule="auto"/>
        <w:ind w:firstLine="446"/>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2"/>
          <w:sz w:val="21"/>
          <w:szCs w:val="21"/>
          <w:highlight w:val="none"/>
          <w:lang w:val="en-US" w:eastAsia="zh-CN"/>
        </w:rPr>
        <w:t>（5）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三、项目预算  </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15万元。</w:t>
      </w:r>
      <w:r>
        <w:rPr>
          <w:rFonts w:hint="eastAsia" w:eastAsia="宋体"/>
          <w:color w:val="auto"/>
          <w:highlight w:val="none"/>
          <w:lang w:val="en-US" w:eastAsia="zh-CN"/>
        </w:rPr>
        <w:t>质保期限3年。</w:t>
      </w:r>
    </w:p>
    <w:p>
      <w:pPr>
        <w:widowControl/>
        <w:spacing w:line="360" w:lineRule="auto"/>
        <w:ind w:firstLine="420" w:firstLineChars="200"/>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四、服务期限及地点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1.服务期限</w:t>
      </w:r>
      <w:r>
        <w:rPr>
          <w:rFonts w:hint="eastAsia" w:ascii="宋体" w:hAnsi="宋体" w:eastAsia="宋体" w:cs="宋体"/>
          <w:color w:val="auto"/>
          <w:sz w:val="21"/>
          <w:szCs w:val="21"/>
          <w:highlight w:val="none"/>
          <w:u w:val="none"/>
          <w:lang w:val="en-US" w:eastAsia="zh-CN"/>
        </w:rPr>
        <w:t>：三年（具体时间以合同签订为准）</w:t>
      </w:r>
      <w:r>
        <w:rPr>
          <w:rFonts w:hint="eastAsia" w:asciiTheme="minorEastAsia" w:hAnsiTheme="minorEastAsia" w:eastAsiaTheme="minorEastAsia" w:cstheme="minorEastAsia"/>
          <w:color w:val="auto"/>
          <w:kern w:val="2"/>
          <w:sz w:val="21"/>
          <w:szCs w:val="21"/>
          <w:highlight w:val="non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2.服务地点：滨海新区中医医院北塘院区：柳州东道292号（特殊情况以合同为准）。</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五、付款方式：（特殊情况以合同为准）</w:t>
      </w:r>
    </w:p>
    <w:p>
      <w:pPr>
        <w:pStyle w:val="5"/>
        <w:numPr>
          <w:ilvl w:val="0"/>
          <w:numId w:val="0"/>
        </w:numPr>
        <w:spacing w:line="500" w:lineRule="exact"/>
        <w:ind w:leftChars="0" w:firstLine="420" w:firstLineChars="200"/>
        <w:rPr>
          <w:rFonts w:hint="eastAsia" w:ascii="宋体" w:hAnsi="宋体" w:eastAsia="宋体" w:cs="宋体"/>
          <w:color w:val="auto"/>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bidi="ar-SA"/>
        </w:rPr>
        <w:t>检测合格并提供合格证及检测</w:t>
      </w:r>
      <w:r>
        <w:rPr>
          <w:rFonts w:hint="eastAsia" w:ascii="宋体" w:hAnsi="宋体" w:cs="宋体"/>
          <w:color w:val="auto"/>
          <w:sz w:val="21"/>
          <w:szCs w:val="21"/>
          <w:highlight w:val="none"/>
          <w:u w:val="none"/>
          <w:lang w:val="en-US" w:eastAsia="zh-CN" w:bidi="ar-SA"/>
        </w:rPr>
        <w:t>合格证</w:t>
      </w:r>
      <w:r>
        <w:rPr>
          <w:rFonts w:hint="eastAsia" w:ascii="宋体" w:hAnsi="宋体" w:eastAsia="宋体" w:cs="宋体"/>
          <w:color w:val="auto"/>
          <w:sz w:val="21"/>
          <w:szCs w:val="21"/>
          <w:highlight w:val="none"/>
          <w:u w:val="none"/>
          <w:lang w:val="en-US" w:eastAsia="zh-CN" w:bidi="ar-SA"/>
        </w:rPr>
        <w:t>（如不合格提供消防设施检测不符合项告知函），联动测试系统正常运行后，凭供应商开具的正规全额发票支付总服务费的90%，质保期结束且系统正常后支付10%尾款。采用电汇方式。</w:t>
      </w:r>
    </w:p>
    <w:p>
      <w:pPr>
        <w:widowControl/>
        <w:spacing w:line="360" w:lineRule="auto"/>
        <w:ind w:firstLine="420" w:firstLineChars="200"/>
        <w:jc w:val="left"/>
        <w:textAlignment w:val="baseline"/>
        <w:rPr>
          <w:rFonts w:hint="default" w:ascii="宋体" w:hAnsi="宋体" w:eastAsia="宋体" w:cs="Times New Roman"/>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u w:val="none"/>
          <w:lang w:val="en-US" w:eastAsia="zh-CN" w:bidi="ar-SA"/>
        </w:rPr>
        <w:t>采购人有权邀请第三方机构参与本次检测质量评价及联动测试评价工作</w:t>
      </w:r>
      <w:r>
        <w:rPr>
          <w:rFonts w:hint="eastAsia" w:ascii="宋体" w:hAnsi="宋体" w:eastAsia="宋体" w:cs="Times New Roman"/>
          <w:b w:val="0"/>
          <w:bCs w:val="0"/>
          <w:color w:val="auto"/>
          <w:kern w:val="0"/>
          <w:sz w:val="21"/>
          <w:szCs w:val="21"/>
          <w:highlight w:val="none"/>
          <w:lang w:val="en-US" w:eastAsia="zh-CN" w:bidi="ar-SA"/>
        </w:rPr>
        <w:t>。</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六、验收方法及标准：</w:t>
      </w:r>
    </w:p>
    <w:p>
      <w:pPr>
        <w:pStyle w:val="5"/>
        <w:numPr>
          <w:ilvl w:val="0"/>
          <w:numId w:val="0"/>
        </w:numPr>
        <w:spacing w:line="500" w:lineRule="exact"/>
        <w:ind w:firstLine="420" w:firstLineChars="200"/>
        <w:rPr>
          <w:rFonts w:hint="eastAsia" w:asciiTheme="minorEastAsia" w:hAnsiTheme="minorEastAsia" w:eastAsiaTheme="minorEastAsia" w:cstheme="minorEastAsia"/>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采购人有权邀请第三方机构参与本次检测质量评价及联动测试评价工作。</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七、检测范围及维护内容</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1.供应商负责对设备进行拆卸。</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2.供应商在安全可靠的环境下由采购人或采购人授权消防维护保养单位监督，进行对瓶头阀内部拆卸清洗以及老化零部件进行更换。</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3.对储气瓶、启动瓶头阀进行气密性试验、强度试验和开启试验。</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4.供应商或委托其他机构对七氟丙烷气瓶等需强制检测的气瓶、压力表、阀门等进行检测。</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5.对检测合格的储气瓶称重，更换充装七氟丙烷灭火药剂后充装氮气。充装氮气压力达到标准压力为4.2Mpa，停放24小时后经检查压力没有变化判定符合规范要求。</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6.对扩口管件进行清洗。</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7.对储气瓶、启动瓶药剂填充后安装至各个放置点并在采购人外观验收后对设备调试。</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8.在瓶体上的明显部位贴上合格证。</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9.配合维保单位根据《气体灭火验收规范》以及现场情况，对气体钢瓶进行模拟联动测试，达到使用状态。</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检修单位交工后应当于5个工作日内出具检修合格证或消防设施检测不符合项告知函，并对出具文件当时状态的服务质量负责。逾期未出具的，应当根据采购双方约定重新安排进行检测，采购人无需另外支付费用。</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八、技术要求</w:t>
      </w:r>
    </w:p>
    <w:p>
      <w:pPr>
        <w:widowControl/>
        <w:spacing w:line="360" w:lineRule="auto"/>
        <w:ind w:firstLine="420" w:firstLineChars="200"/>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供应商应具有经营、维修、检测本项目设施的能力，提供书面证明函</w:t>
      </w:r>
      <w:r>
        <w:rPr>
          <w:rFonts w:hint="default" w:asciiTheme="minorEastAsia" w:hAnsiTheme="minorEastAsia" w:eastAsiaTheme="minorEastAsia" w:cstheme="minorEastAsia"/>
          <w:color w:val="auto"/>
          <w:kern w:val="2"/>
          <w:sz w:val="21"/>
          <w:szCs w:val="21"/>
          <w:highlight w:val="none"/>
          <w:lang w:val="en-US" w:eastAsia="zh-CN" w:bidi="ar-SA"/>
        </w:rPr>
        <w:t>。</w:t>
      </w:r>
    </w:p>
    <w:p>
      <w:pPr>
        <w:widowControl/>
        <w:spacing w:line="360" w:lineRule="auto"/>
        <w:ind w:firstLine="420" w:firstLineChars="200"/>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kern w:val="2"/>
          <w:sz w:val="21"/>
          <w:szCs w:val="21"/>
          <w:highlight w:val="none"/>
          <w:lang w:val="en-US" w:eastAsia="zh-CN" w:bidi="ar-SA"/>
        </w:rPr>
        <w:t>供应商提供的检测服务</w:t>
      </w:r>
      <w:r>
        <w:rPr>
          <w:rFonts w:hint="default" w:asciiTheme="minorEastAsia" w:hAnsiTheme="minorEastAsia" w:eastAsiaTheme="minorEastAsia" w:cstheme="minorEastAsia"/>
          <w:color w:val="auto"/>
          <w:kern w:val="2"/>
          <w:sz w:val="21"/>
          <w:szCs w:val="21"/>
          <w:highlight w:val="none"/>
          <w:lang w:val="en-US" w:eastAsia="zh-CN" w:bidi="ar-SA"/>
        </w:rPr>
        <w:t>必须符合</w:t>
      </w:r>
      <w:r>
        <w:rPr>
          <w:rFonts w:hint="eastAsia" w:asciiTheme="minorEastAsia" w:hAnsiTheme="minorEastAsia" w:eastAsiaTheme="minorEastAsia" w:cstheme="minorEastAsia"/>
          <w:color w:val="auto"/>
          <w:kern w:val="2"/>
          <w:sz w:val="21"/>
          <w:szCs w:val="21"/>
          <w:highlight w:val="none"/>
          <w:lang w:val="en-US" w:eastAsia="zh-CN" w:bidi="ar-SA"/>
        </w:rPr>
        <w:t>《气瓶安全技术监察规程》TSG23-2021、《钢质焊接气瓶定期检验与评定》GB13075、</w:t>
      </w:r>
      <w:r>
        <w:rPr>
          <w:rFonts w:hint="default" w:asciiTheme="minorEastAsia" w:hAnsiTheme="minorEastAsia" w:eastAsiaTheme="minorEastAsia" w:cstheme="minorEastAsia"/>
          <w:color w:val="auto"/>
          <w:kern w:val="2"/>
          <w:sz w:val="21"/>
          <w:szCs w:val="21"/>
          <w:highlight w:val="none"/>
          <w:lang w:val="en-US" w:eastAsia="zh-CN" w:bidi="ar-SA"/>
        </w:rPr>
        <w:t>《七氟丙烷（HFC-227ea）洁净气体灭火系统设计规范》DBJ15-23-1999/ISO14529-9、《七氟丙烷（HFC-227ea）灭火剂》GB18614-2012、《消防产品一致性检查要求》GA-1061-2013等技术标准；</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3.本次采购内容主要为对我院北塘院区七氟丙烷灭火系统进行检测、更换气体药剂及配件，包括更换8组气体总容量为3810公斤七氟丙烷药剂的钢瓶及10个氮气驱动瓶；</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4.更换维修检测过程中，需确保不影响环境，确保现场的安全。</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5.全过程安全与环境保护风险由供应商负责。</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供应商负责现场系统拆卸及恢复原装，将气瓶运输到检测场所进行检测，转运过程中应符合道路运输要求，须有具备《道路运输经营许可证》的单位负责，运输车辆及人员需具备危险货物运输资质，其中产生的费用及一切法律责任有供应商承担。</w:t>
      </w:r>
    </w:p>
    <w:p>
      <w:pPr>
        <w:widowControl/>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7.供应商提供本次检测的气体灭火系统3年的免费上门保修。保修期内免费更换零配件。保修期自验收合格之日起计算。</w:t>
      </w:r>
    </w:p>
    <w:p>
      <w:pPr>
        <w:widowControl/>
        <w:spacing w:line="360" w:lineRule="auto"/>
        <w:ind w:firstLine="420" w:firstLineChars="200"/>
        <w:jc w:val="left"/>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8.供应商对使用人员进行免费现场技术培训一次。</w:t>
      </w:r>
    </w:p>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九、清单明细</w:t>
      </w:r>
    </w:p>
    <w:tbl>
      <w:tblPr>
        <w:tblStyle w:val="3"/>
        <w:tblW w:w="9736" w:type="dxa"/>
        <w:jc w:val="center"/>
        <w:tblLayout w:type="fixed"/>
        <w:tblCellMar>
          <w:top w:w="0" w:type="dxa"/>
          <w:left w:w="30" w:type="dxa"/>
          <w:bottom w:w="0" w:type="dxa"/>
          <w:right w:w="30" w:type="dxa"/>
        </w:tblCellMar>
      </w:tblPr>
      <w:tblGrid>
        <w:gridCol w:w="611"/>
        <w:gridCol w:w="2074"/>
        <w:gridCol w:w="1229"/>
        <w:gridCol w:w="657"/>
        <w:gridCol w:w="886"/>
        <w:gridCol w:w="2836"/>
        <w:gridCol w:w="721"/>
        <w:gridCol w:w="722"/>
      </w:tblGrid>
      <w:tr>
        <w:tblPrEx>
          <w:tblCellMar>
            <w:top w:w="0" w:type="dxa"/>
            <w:left w:w="30" w:type="dxa"/>
            <w:bottom w:w="0" w:type="dxa"/>
            <w:right w:w="30" w:type="dxa"/>
          </w:tblCellMar>
        </w:tblPrEx>
        <w:trPr>
          <w:trHeight w:val="609" w:hRule="atLeast"/>
          <w:jc w:val="center"/>
        </w:trPr>
        <w:tc>
          <w:tcPr>
            <w:tcW w:w="61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207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名称</w:t>
            </w:r>
          </w:p>
        </w:tc>
        <w:tc>
          <w:tcPr>
            <w:tcW w:w="1229"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规格</w:t>
            </w:r>
          </w:p>
        </w:tc>
        <w:tc>
          <w:tcPr>
            <w:tcW w:w="657"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单位</w:t>
            </w:r>
          </w:p>
        </w:tc>
        <w:tc>
          <w:tcPr>
            <w:tcW w:w="88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数量</w:t>
            </w:r>
          </w:p>
        </w:tc>
        <w:tc>
          <w:tcPr>
            <w:tcW w:w="283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说明</w:t>
            </w:r>
          </w:p>
        </w:tc>
        <w:tc>
          <w:tcPr>
            <w:tcW w:w="7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单价</w:t>
            </w:r>
          </w:p>
        </w:tc>
        <w:tc>
          <w:tcPr>
            <w:tcW w:w="7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小计</w:t>
            </w:r>
          </w:p>
        </w:tc>
      </w:tr>
      <w:tr>
        <w:tblPrEx>
          <w:tblCellMar>
            <w:top w:w="0" w:type="dxa"/>
            <w:left w:w="30" w:type="dxa"/>
            <w:bottom w:w="0" w:type="dxa"/>
            <w:right w:w="30" w:type="dxa"/>
          </w:tblCellMar>
        </w:tblPrEx>
        <w:trPr>
          <w:trHeight w:val="785" w:hRule="atLeast"/>
          <w:jc w:val="center"/>
        </w:trPr>
        <w:tc>
          <w:tcPr>
            <w:tcW w:w="61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207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七氟丙烷灭火系统</w:t>
            </w:r>
          </w:p>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装置</w:t>
            </w:r>
            <w:r>
              <w:rPr>
                <w:rFonts w:hint="eastAsia" w:ascii="宋体" w:hAnsi="宋体" w:eastAsia="宋体" w:cs="宋体"/>
                <w:kern w:val="0"/>
                <w:sz w:val="21"/>
                <w:szCs w:val="21"/>
                <w:highlight w:val="none"/>
                <w:lang w:val="en-US" w:eastAsia="zh-CN"/>
              </w:rPr>
              <w:t>检测</w:t>
            </w:r>
          </w:p>
        </w:tc>
        <w:tc>
          <w:tcPr>
            <w:tcW w:w="1229"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钢瓶</w:t>
            </w:r>
          </w:p>
        </w:tc>
        <w:tc>
          <w:tcPr>
            <w:tcW w:w="657"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个</w:t>
            </w:r>
          </w:p>
        </w:tc>
        <w:tc>
          <w:tcPr>
            <w:tcW w:w="88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43</w:t>
            </w:r>
          </w:p>
        </w:tc>
        <w:tc>
          <w:tcPr>
            <w:tcW w:w="283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包括：钢瓶压力试验、阀门维修、灭火剂充罐费、拆卸费等。</w:t>
            </w:r>
          </w:p>
        </w:tc>
        <w:tc>
          <w:tcPr>
            <w:tcW w:w="7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CellMar>
            <w:top w:w="0" w:type="dxa"/>
            <w:left w:w="30" w:type="dxa"/>
            <w:bottom w:w="0" w:type="dxa"/>
            <w:right w:w="30" w:type="dxa"/>
          </w:tblCellMar>
        </w:tblPrEx>
        <w:trPr>
          <w:trHeight w:val="560" w:hRule="atLeast"/>
          <w:jc w:val="center"/>
        </w:trPr>
        <w:tc>
          <w:tcPr>
            <w:tcW w:w="61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207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充装</w:t>
            </w:r>
            <w:r>
              <w:rPr>
                <w:rFonts w:hint="eastAsia" w:ascii="宋体" w:hAnsi="宋体" w:eastAsia="宋体" w:cs="宋体"/>
                <w:kern w:val="0"/>
                <w:sz w:val="21"/>
                <w:szCs w:val="21"/>
                <w:highlight w:val="none"/>
              </w:rPr>
              <w:t>药剂</w:t>
            </w:r>
          </w:p>
        </w:tc>
        <w:tc>
          <w:tcPr>
            <w:tcW w:w="1229"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ind w:firstLine="210" w:firstLineChars="10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HFC-227</w:t>
            </w:r>
          </w:p>
        </w:tc>
        <w:tc>
          <w:tcPr>
            <w:tcW w:w="657"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千克</w:t>
            </w:r>
          </w:p>
        </w:tc>
        <w:tc>
          <w:tcPr>
            <w:tcW w:w="88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3810</w:t>
            </w:r>
          </w:p>
        </w:tc>
        <w:tc>
          <w:tcPr>
            <w:tcW w:w="283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按照钢瓶铭牌要求充装</w:t>
            </w:r>
          </w:p>
        </w:tc>
        <w:tc>
          <w:tcPr>
            <w:tcW w:w="7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CellMar>
            <w:top w:w="0" w:type="dxa"/>
            <w:left w:w="30" w:type="dxa"/>
            <w:bottom w:w="0" w:type="dxa"/>
            <w:right w:w="30" w:type="dxa"/>
          </w:tblCellMar>
        </w:tblPrEx>
        <w:trPr>
          <w:trHeight w:val="380" w:hRule="atLeast"/>
          <w:jc w:val="center"/>
        </w:trPr>
        <w:tc>
          <w:tcPr>
            <w:tcW w:w="61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3</w:t>
            </w:r>
          </w:p>
        </w:tc>
        <w:tc>
          <w:tcPr>
            <w:tcW w:w="207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驱</w:t>
            </w:r>
            <w:r>
              <w:rPr>
                <w:rFonts w:hint="eastAsia" w:ascii="宋体" w:hAnsi="宋体" w:eastAsia="宋体" w:cs="宋体"/>
                <w:bCs/>
                <w:kern w:val="0"/>
                <w:sz w:val="21"/>
                <w:szCs w:val="21"/>
                <w:highlight w:val="none"/>
              </w:rPr>
              <w:t>动瓶</w:t>
            </w:r>
          </w:p>
        </w:tc>
        <w:tc>
          <w:tcPr>
            <w:tcW w:w="1229" w:type="dxa"/>
            <w:tcBorders>
              <w:top w:val="single" w:color="auto" w:sz="6" w:space="0"/>
              <w:left w:val="nil"/>
              <w:bottom w:val="single" w:color="auto" w:sz="6" w:space="0"/>
              <w:right w:val="nil"/>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N2</w:t>
            </w:r>
          </w:p>
        </w:tc>
        <w:tc>
          <w:tcPr>
            <w:tcW w:w="657"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88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0</w:t>
            </w:r>
          </w:p>
        </w:tc>
        <w:tc>
          <w:tcPr>
            <w:tcW w:w="283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氮气充装及检测</w:t>
            </w:r>
          </w:p>
        </w:tc>
        <w:tc>
          <w:tcPr>
            <w:tcW w:w="7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CellMar>
            <w:top w:w="0" w:type="dxa"/>
            <w:left w:w="30" w:type="dxa"/>
            <w:bottom w:w="0" w:type="dxa"/>
            <w:right w:w="30" w:type="dxa"/>
          </w:tblCellMar>
        </w:tblPrEx>
        <w:trPr>
          <w:trHeight w:val="380" w:hRule="atLeast"/>
          <w:jc w:val="center"/>
        </w:trPr>
        <w:tc>
          <w:tcPr>
            <w:tcW w:w="61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4</w:t>
            </w:r>
          </w:p>
        </w:tc>
        <w:tc>
          <w:tcPr>
            <w:tcW w:w="2074"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w:t>
            </w:r>
          </w:p>
        </w:tc>
        <w:tc>
          <w:tcPr>
            <w:tcW w:w="1229" w:type="dxa"/>
            <w:tcBorders>
              <w:top w:val="single" w:color="auto" w:sz="6" w:space="0"/>
              <w:left w:val="nil"/>
              <w:bottom w:val="single" w:color="auto" w:sz="6" w:space="0"/>
              <w:right w:val="nil"/>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657"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88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2836"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CellMar>
            <w:top w:w="0" w:type="dxa"/>
            <w:left w:w="30" w:type="dxa"/>
            <w:bottom w:w="0" w:type="dxa"/>
            <w:right w:w="30" w:type="dxa"/>
          </w:tblCellMar>
        </w:tblPrEx>
        <w:trPr>
          <w:trHeight w:val="422" w:hRule="atLeast"/>
          <w:jc w:val="center"/>
        </w:trPr>
        <w:tc>
          <w:tcPr>
            <w:tcW w:w="9736" w:type="dxa"/>
            <w:gridSpan w:val="8"/>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合计</w:t>
            </w:r>
          </w:p>
        </w:tc>
      </w:tr>
    </w:tbl>
    <w:p>
      <w:pPr>
        <w:widowControl w:val="0"/>
        <w:autoSpaceDE w:val="0"/>
        <w:autoSpaceDN w:val="0"/>
        <w:adjustRightInd w:val="0"/>
        <w:snapToGrid/>
        <w:spacing w:after="0"/>
        <w:jc w:val="both"/>
        <w:rPr>
          <w:rFonts w:hint="eastAsia" w:ascii="宋体" w:hAnsi="宋体" w:eastAsia="宋体" w:cs="宋体"/>
          <w:kern w:val="0"/>
          <w:sz w:val="21"/>
          <w:szCs w:val="21"/>
          <w:highlight w:val="none"/>
          <w:lang w:val="en-US" w:eastAsia="zh-CN"/>
        </w:rPr>
      </w:pPr>
    </w:p>
    <w:p>
      <w:pPr>
        <w:widowControl w:val="0"/>
        <w:autoSpaceDE w:val="0"/>
        <w:autoSpaceDN w:val="0"/>
        <w:adjustRightInd w:val="0"/>
        <w:snapToGrid/>
        <w:spacing w:after="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附件：七氟丙烷点位明细与容积</w:t>
      </w:r>
    </w:p>
    <w:tbl>
      <w:tblPr>
        <w:tblStyle w:val="3"/>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7"/>
        <w:gridCol w:w="1859"/>
        <w:gridCol w:w="1859"/>
        <w:gridCol w:w="1859"/>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气瓶间位置</w:t>
            </w:r>
          </w:p>
        </w:tc>
        <w:tc>
          <w:tcPr>
            <w:tcW w:w="5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七氟丙烷</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驱动瓶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充重量（KG)</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数量（个)</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小计(公斤)</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放射科</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病案科</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130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650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负二车场</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99</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2079</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网络信息科</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504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工伤体检</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治未病科</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130</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130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档案室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154</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177" w:type="dxa"/>
            <w:tcBorders>
              <w:top w:val="single" w:color="000000" w:sz="4" w:space="0"/>
              <w:left w:val="single" w:color="000000" w:sz="4" w:space="0"/>
              <w:bottom w:val="nil"/>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实训中心</w:t>
            </w:r>
          </w:p>
        </w:tc>
        <w:tc>
          <w:tcPr>
            <w:tcW w:w="1859" w:type="dxa"/>
            <w:tcBorders>
              <w:top w:val="single" w:color="000000" w:sz="4" w:space="0"/>
              <w:left w:val="single" w:color="000000" w:sz="4" w:space="0"/>
              <w:bottom w:val="nil"/>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158</w:t>
            </w:r>
          </w:p>
        </w:tc>
        <w:tc>
          <w:tcPr>
            <w:tcW w:w="1859" w:type="dxa"/>
            <w:tcBorders>
              <w:top w:val="single" w:color="000000" w:sz="4" w:space="0"/>
              <w:left w:val="single" w:color="000000" w:sz="4" w:space="0"/>
              <w:bottom w:val="nil"/>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158</w:t>
            </w:r>
          </w:p>
        </w:tc>
        <w:tc>
          <w:tcPr>
            <w:tcW w:w="1744" w:type="dxa"/>
            <w:tcBorders>
              <w:top w:val="single" w:color="000000" w:sz="4" w:space="0"/>
              <w:left w:val="single" w:color="000000" w:sz="4" w:space="0"/>
              <w:bottom w:val="nil"/>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合计</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752</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43</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3810</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utoSpaceDE w:val="0"/>
              <w:autoSpaceDN w:val="0"/>
              <w:adjustRightInd w:val="0"/>
              <w:snapToGrid/>
              <w:spacing w:after="0"/>
              <w:jc w:val="center"/>
              <w:rPr>
                <w:rFonts w:hint="eastAsia" w:ascii="宋体" w:hAnsi="宋体" w:eastAsia="宋体" w:cs="宋体"/>
                <w:kern w:val="0"/>
                <w:sz w:val="21"/>
                <w:szCs w:val="21"/>
                <w:highlight w:val="none"/>
              </w:rPr>
            </w:pPr>
          </w:p>
        </w:tc>
      </w:tr>
    </w:tbl>
    <w:p>
      <w:pP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p>
    <w:p>
      <w:pPr>
        <w:autoSpaceDE w:val="0"/>
        <w:autoSpaceDN w:val="0"/>
        <w:adjustRightInd w:val="0"/>
        <w:spacing w:line="360" w:lineRule="auto"/>
        <w:ind w:firstLine="840" w:firstLineChars="400"/>
        <w:rPr>
          <w:rFonts w:hint="eastAsia" w:asciiTheme="minorEastAsia" w:hAnsiTheme="minorEastAsia" w:eastAsiaTheme="minorEastAsia" w:cstheme="minorEastAsia"/>
          <w:color w:val="auto"/>
          <w:sz w:val="21"/>
          <w:szCs w:val="21"/>
          <w:highlight w:val="none"/>
          <w:lang w:eastAsia="zh-CN"/>
        </w:rPr>
      </w:pP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581D3E6C"/>
    <w:rsid w:val="581D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autoRedefine/>
    <w:qFormat/>
    <w:uiPriority w:val="34"/>
    <w:pPr>
      <w:ind w:firstLine="420" w:firstLineChars="200"/>
    </w:pPr>
    <w:rPr>
      <w:rFonts w:ascii="Calibri" w:eastAsia="宋体"/>
      <w:sz w:val="21"/>
    </w:rPr>
  </w:style>
  <w:style w:type="paragraph" w:customStyle="1" w:styleId="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2024-07-10T01:55:00Z</dcterms:created>
  <dc:creator>WPS_1547029868</dc:creator>
  <cp:lastModifiedBy>WPS_1547029868</cp:lastModifiedBy>
  <dcterms:modified xsi:type="dcterms:W3CDTF">2024-07-10T01:56:09Z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50B5C9117D09433C9C753566C22FDF30_11</vt:lpwstr>
  </property>
</Properties>
</file>