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outlineLvl w:val="0"/>
        <w:rPr>
          <w:rFonts w:hint="eastAsia" w:ascii="宋体" w:hAnsi="宋体" w:eastAsia="宋体" w:cs="宋体"/>
          <w:color w:val="auto"/>
          <w:highlight w:val="none"/>
          <w:lang w:val="en-US" w:eastAsia="zh-CN"/>
        </w:rPr>
      </w:pPr>
      <w:bookmarkStart w:id="3" w:name="_GoBack"/>
      <w:bookmarkEnd w:id="3"/>
      <w:bookmarkStart w:id="0" w:name="_Toc31520"/>
      <w:bookmarkStart w:id="1" w:name="_Toc1361"/>
      <w:r>
        <w:rPr>
          <w:rFonts w:hint="eastAsia" w:ascii="宋体" w:hAnsi="宋体" w:eastAsia="宋体" w:cs="宋体"/>
          <w:color w:val="auto"/>
          <w:highlight w:val="none"/>
          <w:lang w:val="en-US" w:eastAsia="zh-CN"/>
        </w:rPr>
        <w:t>天津市滨海新区中医医院正置荧光显微镜采购项目</w:t>
      </w:r>
    </w:p>
    <w:p>
      <w:pPr>
        <w:pStyle w:val="2"/>
        <w:bidi w:val="0"/>
        <w:jc w:val="center"/>
        <w:outlineLvl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需求书</w:t>
      </w:r>
      <w:bookmarkEnd w:id="0"/>
      <w:bookmarkEnd w:id="1"/>
    </w:p>
    <w:p>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shd w:val="clear" w:color="auto" w:fill="FFFFFF"/>
        </w:rPr>
        <w:t>一、项目概况</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1、</w:t>
      </w:r>
      <w:r>
        <w:rPr>
          <w:rFonts w:hint="eastAsia" w:ascii="宋体" w:hAnsi="宋体" w:eastAsia="宋体" w:cs="宋体"/>
          <w:color w:val="auto"/>
          <w:sz w:val="21"/>
          <w:szCs w:val="21"/>
          <w:highlight w:val="none"/>
          <w:u w:val="none"/>
          <w:lang w:val="en-US" w:eastAsia="zh-CN"/>
        </w:rPr>
        <w:t>本次招标为天津市滨海新区中医医院正置荧光显微镜采购项目，包括：1套</w:t>
      </w:r>
      <w:r>
        <w:rPr>
          <w:rFonts w:hint="eastAsia" w:ascii="宋体" w:hAnsi="宋体" w:eastAsia="宋体" w:cs="宋体"/>
          <w:color w:val="auto"/>
          <w:sz w:val="21"/>
          <w:szCs w:val="21"/>
          <w:highlight w:val="none"/>
          <w:lang w:val="en-US" w:eastAsia="zh-CN"/>
        </w:rPr>
        <w:t>正置荧光显微镜</w:t>
      </w:r>
      <w:r>
        <w:rPr>
          <w:rFonts w:hint="eastAsia" w:ascii="宋体" w:hAnsi="宋体" w:eastAsia="宋体" w:cs="宋体"/>
          <w:color w:val="auto"/>
          <w:spacing w:val="-3"/>
          <w:sz w:val="21"/>
          <w:szCs w:val="21"/>
          <w:highlight w:val="none"/>
          <w:lang w:val="en-US" w:eastAsia="zh-CN"/>
        </w:rPr>
        <w:t>。</w:t>
      </w:r>
      <w:r>
        <w:rPr>
          <w:rFonts w:hint="eastAsia" w:ascii="宋体" w:hAnsi="宋体" w:eastAsia="宋体" w:cs="宋体"/>
          <w:color w:val="auto"/>
          <w:sz w:val="21"/>
          <w:szCs w:val="21"/>
          <w:highlight w:val="none"/>
        </w:rPr>
        <w:t>现接受合格的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进行投标。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lang w:eastAsia="zh-CN"/>
        </w:rPr>
        <w:t>货到现场安装调试完毕，验收合格后 15 个工作日内支付合同总价款的90%，自验收之日起 1 年后 15 个工作日内支付合同总额的 10%（特殊情况以合同为准）</w:t>
      </w:r>
      <w:r>
        <w:rPr>
          <w:rFonts w:hint="eastAsia" w:ascii="宋体" w:hAnsi="宋体" w:eastAsia="宋体" w:cs="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3、交货事项</w:t>
      </w:r>
    </w:p>
    <w:p>
      <w:pPr>
        <w:pStyle w:val="6"/>
        <w:spacing w:line="360" w:lineRule="auto"/>
        <w:ind w:firstLine="420" w:firstLineChars="200"/>
        <w:jc w:val="both"/>
        <w:rPr>
          <w:rFonts w:hint="eastAsia" w:ascii="宋体" w:hAnsi="宋体" w:eastAsia="宋体" w:cs="宋体"/>
          <w:color w:val="auto"/>
          <w:sz w:val="21"/>
          <w:szCs w:val="21"/>
          <w:highlight w:val="none"/>
          <w:lang w:val="zh-TW"/>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TW"/>
        </w:rPr>
        <w:t>交货时间：合同签订之日起十个工作日内安装调试完毕（具体情况以合同为准）。</w:t>
      </w:r>
    </w:p>
    <w:p>
      <w:pPr>
        <w:pStyle w:val="6"/>
        <w:spacing w:line="360" w:lineRule="auto"/>
        <w:ind w:firstLine="420" w:firstLineChars="200"/>
        <w:jc w:val="both"/>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rPr>
        <w:t>交货地点：天天津市滨海新区中医医院</w:t>
      </w:r>
      <w:r>
        <w:rPr>
          <w:rFonts w:hint="eastAsia" w:ascii="宋体" w:hAnsi="宋体" w:eastAsia="宋体" w:cs="宋体"/>
          <w:color w:val="auto"/>
          <w:sz w:val="21"/>
          <w:szCs w:val="21"/>
          <w:highlight w:val="none"/>
          <w:lang w:val="zh-TW" w:eastAsia="zh-CN"/>
        </w:rPr>
        <w:t>。</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lang w:val="en-US" w:eastAsia="zh-CN"/>
        </w:rPr>
        <w:t>(3)特别要求：除主体设备外，还须包括生产厂家的完整的随机资料，包括完整的使用和维修手册、配套的辅助设备、技术资料（包括操作手册、使用指南、维修指南或服务手册等）、设备使用所必需的备品备件，负责运输、安装并提供相应的技术服务与质量保证。</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二．项目预算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1.预算金额：共计</w:t>
      </w:r>
      <w:r>
        <w:rPr>
          <w:rFonts w:hint="eastAsia" w:ascii="宋体" w:hAnsi="宋体" w:cs="宋体"/>
          <w:color w:val="auto"/>
          <w:kern w:val="0"/>
          <w:sz w:val="21"/>
          <w:szCs w:val="21"/>
          <w:highlight w:val="none"/>
          <w:shd w:val="clear" w:color="auto" w:fill="FFFFFF"/>
          <w:lang w:val="en-US" w:eastAsia="zh-CN"/>
        </w:rPr>
        <w:t>25</w:t>
      </w:r>
      <w:r>
        <w:rPr>
          <w:rFonts w:hint="eastAsia" w:ascii="宋体" w:hAnsi="宋体" w:eastAsia="宋体" w:cs="宋体"/>
          <w:color w:val="auto"/>
          <w:kern w:val="0"/>
          <w:sz w:val="21"/>
          <w:szCs w:val="21"/>
          <w:highlight w:val="none"/>
          <w:shd w:val="clear" w:color="auto" w:fill="FFFFFF"/>
        </w:rPr>
        <w:t>万元</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三</w:t>
      </w:r>
      <w:r>
        <w:rPr>
          <w:rFonts w:hint="eastAsia" w:ascii="宋体" w:hAnsi="宋体" w:eastAsia="宋体" w:cs="宋体"/>
          <w:b/>
          <w:color w:val="auto"/>
          <w:kern w:val="0"/>
          <w:sz w:val="21"/>
          <w:szCs w:val="21"/>
          <w:highlight w:val="none"/>
          <w:shd w:val="clear" w:color="auto" w:fill="FFFFFF"/>
        </w:rPr>
        <w:t>、资质要求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参加本项目磋商的供应商应在响应文件中提供以下证明材料：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根据《医疗器械监督管理条例》的规定，若供应商为所响应产品的制造商，须提供其医疗器械生产企业备案证明文件或医疗器械生产企业许可证的扫描件或复印件加盖公章；若供应商非所响应产品（第一类医疗器械除外）的制造商，须提供其医疗器械经营企业备案证明文件或医疗器械经营企业许可证的扫描件或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（二）供应商须具备《中华人民共和国政府采购法》第二十二条第一款规定的条件，提供以下材料：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1、营业执照副本或事业单位法人证书或民办非企业单位登记证书或社会团体法人登记证书或基金会法人登记证书扫描件或复印件并加盖公章。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2、财务状况报告等相关材料：提供202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年度经第三方会计师事务所审计的企业财务报告扫描件（应包括完整的审计报告和财务报表）或提交响应文件截止日期前近3个月内银行出具的资信证明复印件并加盖公章。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年至少1个月的依法缴纳税收和社会保险费的相关证明材料扫描件或复印件并加盖公章。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4、提交响应文件截止日前3年在经营活动中没有重大违法记录的书面声明（提交响应文件截止日前成立不足3年的供应商可提供自成立以来无重大违法记录的书面声明）并加盖公章。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三）按照《财政部关于在政府采购活动中查询及使用信用记录有关问题的通知》（财库〔2016〕125号）的要求，采购代理机构于响应文件开启当日响应文件开启时间之前打印的信用中国、中国政府采购网的查询结果信用记录未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（五）本项目不接受联合体参加磋商，供应商须提供《非联合体磋商声明函》并加盖公章。</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rPr>
      </w:pPr>
      <w:r>
        <w:rPr>
          <w:rFonts w:hint="eastAsia" w:ascii="宋体" w:hAnsi="宋体" w:cs="宋体"/>
          <w:b/>
          <w:color w:val="auto"/>
          <w:kern w:val="0"/>
          <w:sz w:val="21"/>
          <w:szCs w:val="21"/>
          <w:highlight w:val="none"/>
          <w:shd w:val="clear" w:color="auto" w:fill="FFFFFF"/>
          <w:lang w:eastAsia="zh-CN"/>
        </w:rPr>
        <w:t>四</w:t>
      </w:r>
      <w:r>
        <w:rPr>
          <w:rFonts w:hint="eastAsia" w:ascii="宋体" w:hAnsi="宋体" w:eastAsia="宋体" w:cs="宋体"/>
          <w:b/>
          <w:color w:val="auto"/>
          <w:kern w:val="0"/>
          <w:sz w:val="21"/>
          <w:szCs w:val="21"/>
          <w:highlight w:val="none"/>
          <w:shd w:val="clear" w:color="auto" w:fill="FFFFFF"/>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本次招标项目以报价清单(见附件）为准，</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按医院提供项目清单中所提及的货物产品、规格逐项填写单价，报价清单需电脑打印，手写无效。报价清单必须密封并加盖公章。</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必须书面提供有效的供货期限、售后服务质量承诺保证书。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附件：报价清单</w:t>
      </w:r>
    </w:p>
    <w:tbl>
      <w:tblPr>
        <w:tblStyle w:val="4"/>
        <w:tblW w:w="7123" w:type="dxa"/>
        <w:jc w:val="center"/>
        <w:tblLayout w:type="fixed"/>
        <w:tblCellMar>
          <w:top w:w="15" w:type="dxa"/>
          <w:left w:w="15" w:type="dxa"/>
          <w:bottom w:w="15" w:type="dxa"/>
          <w:right w:w="15" w:type="dxa"/>
        </w:tblCellMar>
      </w:tblPr>
      <w:tblGrid>
        <w:gridCol w:w="858"/>
        <w:gridCol w:w="2747"/>
        <w:gridCol w:w="1085"/>
        <w:gridCol w:w="1085"/>
        <w:gridCol w:w="1348"/>
      </w:tblGrid>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序号</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名  称</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cs="宋体"/>
                <w:b/>
                <w:color w:val="auto"/>
                <w:kern w:val="0"/>
                <w:sz w:val="21"/>
                <w:szCs w:val="21"/>
                <w:highlight w:val="none"/>
                <w:lang w:eastAsia="zh-CN"/>
              </w:rPr>
              <w:t>数</w:t>
            </w:r>
            <w:r>
              <w:rPr>
                <w:rFonts w:hint="eastAsia" w:ascii="宋体" w:hAnsi="宋体" w:eastAsia="宋体" w:cs="宋体"/>
                <w:b/>
                <w:color w:val="auto"/>
                <w:kern w:val="0"/>
                <w:sz w:val="21"/>
                <w:szCs w:val="21"/>
                <w:highlight w:val="none"/>
              </w:rPr>
              <w:t>量</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限高单价</w:t>
            </w:r>
          </w:p>
        </w:tc>
      </w:tr>
      <w:tr>
        <w:tblPrEx>
          <w:tblCellMar>
            <w:top w:w="15" w:type="dxa"/>
            <w:left w:w="15" w:type="dxa"/>
            <w:bottom w:w="15" w:type="dxa"/>
            <w:right w:w="15" w:type="dxa"/>
          </w:tblCellMar>
        </w:tblPrEx>
        <w:trPr>
          <w:trHeight w:val="538" w:hRule="atLeast"/>
          <w:jc w:val="center"/>
        </w:trPr>
        <w:tc>
          <w:tcPr>
            <w:tcW w:w="858"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747"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正置荧光显微镜</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套</w:t>
            </w:r>
          </w:p>
        </w:tc>
        <w:tc>
          <w:tcPr>
            <w:tcW w:w="1348"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25万</w:t>
            </w:r>
            <w:r>
              <w:rPr>
                <w:rFonts w:hint="eastAsia" w:ascii="宋体" w:hAnsi="宋体" w:eastAsia="宋体" w:cs="宋体"/>
                <w:color w:val="auto"/>
                <w:sz w:val="21"/>
                <w:szCs w:val="21"/>
                <w:highlight w:val="none"/>
              </w:rPr>
              <w:t>元</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注：以上报价均包全部费用，含运费等，不再单另付费。</w:t>
      </w:r>
    </w:p>
    <w:p>
      <w:pPr>
        <w:widowControl/>
        <w:shd w:val="clear" w:color="auto" w:fill="FFFFFF"/>
        <w:spacing w:line="360" w:lineRule="auto"/>
        <w:jc w:val="left"/>
        <w:rPr>
          <w:rFonts w:hint="eastAsia" w:ascii="宋体" w:hAnsi="宋体" w:eastAsia="宋体" w:cs="宋体"/>
          <w:b/>
          <w:color w:val="auto"/>
          <w:kern w:val="0"/>
          <w:sz w:val="21"/>
          <w:szCs w:val="21"/>
          <w:highlight w:val="none"/>
          <w:shd w:val="clear" w:color="auto" w:fill="FFFFFF"/>
          <w:lang w:eastAsia="zh-CN"/>
        </w:rPr>
      </w:pPr>
      <w:r>
        <w:rPr>
          <w:rFonts w:hint="eastAsia" w:ascii="宋体" w:hAnsi="宋体" w:eastAsia="宋体" w:cs="宋体"/>
          <w:b/>
          <w:color w:val="auto"/>
          <w:kern w:val="0"/>
          <w:sz w:val="21"/>
          <w:szCs w:val="21"/>
          <w:highlight w:val="none"/>
          <w:shd w:val="clear" w:color="auto" w:fill="FFFFFF"/>
          <w:lang w:eastAsia="zh-CN"/>
        </w:rPr>
        <w:t>五、主要技术参数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1、基本配置</w:t>
      </w:r>
      <w:r>
        <w:rPr>
          <w:rFonts w:hint="eastAsia" w:ascii="宋体" w:hAnsi="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观察方式：明场、</w:t>
      </w:r>
      <w:r>
        <w:rPr>
          <w:rFonts w:hint="eastAsia" w:ascii="宋体" w:hAnsi="宋体" w:cs="宋体"/>
          <w:color w:val="auto"/>
          <w:sz w:val="21"/>
          <w:szCs w:val="21"/>
          <w:highlight w:val="none"/>
          <w:lang w:val="en-US" w:eastAsia="zh-CN"/>
        </w:rPr>
        <w:t>荧光，</w:t>
      </w:r>
      <w:r>
        <w:rPr>
          <w:rFonts w:hint="eastAsia" w:ascii="宋体" w:hAnsi="宋体" w:cs="宋体"/>
          <w:color w:val="auto"/>
          <w:sz w:val="21"/>
          <w:szCs w:val="21"/>
          <w:highlight w:val="none"/>
          <w:lang w:eastAsia="zh-CN"/>
        </w:rPr>
        <w:t>可升级相差/暗场/LED照明（白色均匀冷光），光源</w:t>
      </w:r>
      <w:r>
        <w:rPr>
          <w:rFonts w:hint="eastAsia" w:ascii="宋体" w:hAnsi="宋体" w:cs="宋体"/>
          <w:color w:val="auto"/>
          <w:sz w:val="21"/>
          <w:szCs w:val="21"/>
          <w:highlight w:val="none"/>
          <w:lang w:val="en-US" w:eastAsia="zh-CN"/>
        </w:rPr>
        <w:t>寿命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100000 小时，显微镜载物台自支撑结构，</w:t>
      </w:r>
      <w:r>
        <w:rPr>
          <w:rFonts w:hint="eastAsia" w:ascii="宋体" w:hAnsi="宋体" w:cs="宋体"/>
          <w:color w:val="auto"/>
          <w:sz w:val="21"/>
          <w:szCs w:val="21"/>
          <w:highlight w:val="none"/>
          <w:lang w:val="en-US" w:eastAsia="zh-CN"/>
        </w:rPr>
        <w:t>机身</w:t>
      </w:r>
      <w:r>
        <w:rPr>
          <w:rFonts w:hint="eastAsia" w:ascii="宋体" w:hAnsi="宋体" w:cs="宋体"/>
          <w:color w:val="auto"/>
          <w:sz w:val="21"/>
          <w:szCs w:val="21"/>
          <w:highlight w:val="none"/>
          <w:lang w:eastAsia="zh-CN"/>
        </w:rPr>
        <w:t>圆角设计，机身整体防霉。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1.2、图像采集系统 CPU</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i7、内存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16G、硬盘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1TB、主频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3.0GHz,配置</w:t>
      </w:r>
      <w:r>
        <w:rPr>
          <w:rFonts w:hint="eastAsia" w:ascii="宋体" w:hAnsi="宋体" w:cs="宋体"/>
          <w:color w:val="auto"/>
          <w:sz w:val="21"/>
          <w:szCs w:val="21"/>
          <w:highlight w:val="none"/>
          <w:lang w:eastAsia="zh-CN"/>
        </w:rPr>
        <w:t xml:space="preserve">Window </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或以上版本</w:t>
      </w:r>
      <w:r>
        <w:rPr>
          <w:rFonts w:hint="eastAsia" w:ascii="宋体" w:hAnsi="宋体" w:cs="宋体"/>
          <w:color w:val="auto"/>
          <w:sz w:val="21"/>
          <w:szCs w:val="21"/>
          <w:highlight w:val="none"/>
          <w:lang w:val="en-US" w:eastAsia="zh-CN"/>
        </w:rPr>
        <w:t>操作系统,具备彩色输出设备。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1.3、显微镜主机、分析系统、相机各1 台；荧光照明系统1套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2.1、光学系统：无限远光学系统，</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45mm 国际标准齐焦距离，支持明场、</w:t>
      </w:r>
      <w:r>
        <w:rPr>
          <w:rFonts w:hint="eastAsia" w:ascii="宋体" w:hAnsi="宋体" w:cs="宋体"/>
          <w:color w:val="auto"/>
          <w:sz w:val="21"/>
          <w:szCs w:val="21"/>
          <w:highlight w:val="none"/>
          <w:lang w:val="en-US" w:eastAsia="zh-CN"/>
        </w:rPr>
        <w:t>荧光、暗场</w:t>
      </w:r>
      <w:r>
        <w:rPr>
          <w:rFonts w:hint="eastAsia" w:ascii="宋体" w:hAnsi="宋体" w:cs="宋体"/>
          <w:color w:val="auto"/>
          <w:sz w:val="21"/>
          <w:szCs w:val="21"/>
          <w:highlight w:val="none"/>
          <w:lang w:eastAsia="zh-CN"/>
        </w:rPr>
        <w:t>等观察方式。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2.2、主机：合金结构，一体化机身,防震机座。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2.3、调焦机构：调焦旋钮高度可调，</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lang w:eastAsia="zh-CN"/>
        </w:rPr>
        <w:t>档同轴调节钮，带限位功能。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2.4、光源系统：LED 发光二极管照明，亮度可调，无热辐射，全亮度</w:t>
      </w:r>
      <w:r>
        <w:rPr>
          <w:rFonts w:hint="eastAsia" w:ascii="宋体" w:hAnsi="宋体" w:cs="宋体"/>
          <w:color w:val="auto"/>
          <w:sz w:val="21"/>
          <w:szCs w:val="21"/>
          <w:highlight w:val="none"/>
          <w:lang w:val="en-US" w:eastAsia="zh-CN"/>
        </w:rPr>
        <w:t>寿命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100000 小时。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2.5、物镜转盘：六孔内倾式物镜转盘。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、载物台：人体工学载物台，高硬度陶瓷台板，</w:t>
      </w:r>
      <w:r>
        <w:rPr>
          <w:rFonts w:hint="eastAsia" w:ascii="宋体" w:hAnsi="宋体" w:cs="宋体"/>
          <w:color w:val="auto"/>
          <w:sz w:val="21"/>
          <w:szCs w:val="21"/>
          <w:highlight w:val="none"/>
          <w:lang w:val="en-US" w:eastAsia="zh-CN"/>
        </w:rPr>
        <w:t>能实现</w:t>
      </w:r>
      <w:r>
        <w:rPr>
          <w:rFonts w:hint="eastAsia" w:ascii="宋体" w:hAnsi="宋体" w:cs="宋体"/>
          <w:color w:val="auto"/>
          <w:sz w:val="21"/>
          <w:szCs w:val="21"/>
          <w:highlight w:val="none"/>
          <w:lang w:eastAsia="zh-CN"/>
        </w:rPr>
        <w:t>左右手自由</w:t>
      </w:r>
      <w:r>
        <w:rPr>
          <w:rFonts w:hint="eastAsia" w:ascii="宋体" w:hAnsi="宋体" w:cs="宋体"/>
          <w:color w:val="auto"/>
          <w:sz w:val="21"/>
          <w:szCs w:val="21"/>
          <w:highlight w:val="none"/>
          <w:lang w:val="en-US" w:eastAsia="zh-CN"/>
        </w:rPr>
        <w:t>互换</w:t>
      </w:r>
      <w:r>
        <w:rPr>
          <w:rFonts w:hint="eastAsia" w:ascii="宋体" w:hAnsi="宋体" w:cs="宋体"/>
          <w:color w:val="auto"/>
          <w:sz w:val="21"/>
          <w:szCs w:val="21"/>
          <w:highlight w:val="none"/>
          <w:lang w:eastAsia="zh-CN"/>
        </w:rPr>
        <w:t>操作，单手操作</w:t>
      </w:r>
      <w:r>
        <w:rPr>
          <w:rFonts w:hint="eastAsia" w:ascii="宋体" w:hAnsi="宋体" w:cs="宋体"/>
          <w:color w:val="auto"/>
          <w:sz w:val="21"/>
          <w:szCs w:val="21"/>
          <w:highlight w:val="none"/>
          <w:lang w:val="en-US" w:eastAsia="zh-CN"/>
        </w:rPr>
        <w:t>时</w:t>
      </w:r>
      <w:r>
        <w:rPr>
          <w:rFonts w:hint="eastAsia" w:ascii="宋体" w:hAnsi="宋体" w:cs="宋体"/>
          <w:color w:val="auto"/>
          <w:sz w:val="21"/>
          <w:szCs w:val="21"/>
          <w:highlight w:val="none"/>
          <w:lang w:eastAsia="zh-CN"/>
        </w:rPr>
        <w:t>，另一只手</w:t>
      </w:r>
      <w:r>
        <w:rPr>
          <w:rFonts w:hint="eastAsia" w:ascii="宋体" w:hAnsi="宋体" w:cs="宋体"/>
          <w:color w:val="auto"/>
          <w:sz w:val="21"/>
          <w:szCs w:val="21"/>
          <w:highlight w:val="none"/>
          <w:lang w:val="en-US" w:eastAsia="zh-CN"/>
        </w:rPr>
        <w:t>可</w:t>
      </w:r>
      <w:r>
        <w:rPr>
          <w:rFonts w:hint="eastAsia" w:ascii="宋体" w:hAnsi="宋体" w:cs="宋体"/>
          <w:color w:val="auto"/>
          <w:sz w:val="21"/>
          <w:szCs w:val="21"/>
          <w:highlight w:val="none"/>
          <w:lang w:eastAsia="zh-CN"/>
        </w:rPr>
        <w:t>进行记录。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 xml:space="preserve">、夹片器：可单手操作样夹,方便同时记录，调焦与 X-Y 调节全对称, </w:t>
      </w:r>
      <w:r>
        <w:rPr>
          <w:rFonts w:hint="eastAsia" w:ascii="宋体" w:hAnsi="宋体" w:cs="宋体"/>
          <w:color w:val="auto"/>
          <w:sz w:val="21"/>
          <w:szCs w:val="21"/>
          <w:highlight w:val="none"/>
          <w:lang w:val="en-US" w:eastAsia="zh-CN"/>
        </w:rPr>
        <w:t>避免</w:t>
      </w:r>
      <w:r>
        <w:rPr>
          <w:rFonts w:hint="eastAsia" w:ascii="宋体" w:hAnsi="宋体" w:cs="宋体"/>
          <w:color w:val="auto"/>
          <w:sz w:val="21"/>
          <w:szCs w:val="21"/>
          <w:highlight w:val="none"/>
          <w:lang w:eastAsia="zh-CN"/>
        </w:rPr>
        <w:t>操作疲劳。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、物镜：</w:t>
      </w:r>
      <w:r>
        <w:rPr>
          <w:rFonts w:hint="eastAsia" w:ascii="宋体" w:hAnsi="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5X NA≥ 0.12；10X NA≥0.25,WD:12mm；20X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NA≥0.40,WD:0.92mm；40X NA≥0.65,WD 0.36mm；100X  NA≥1.25, oi</w:t>
      </w:r>
      <w:r>
        <w:rPr>
          <w:rFonts w:hint="eastAsia" w:ascii="宋体" w:hAnsi="宋体" w:cs="宋体"/>
          <w:color w:val="auto"/>
          <w:sz w:val="21"/>
          <w:szCs w:val="21"/>
          <w:highlight w:val="none"/>
          <w:lang w:val="en-US" w:eastAsia="zh-CN"/>
        </w:rPr>
        <w:t>l</w:t>
      </w:r>
      <w:r>
        <w:rPr>
          <w:rFonts w:hint="eastAsia" w:ascii="宋体" w:hAnsi="宋体" w:cs="宋体"/>
          <w:color w:val="auto"/>
          <w:sz w:val="21"/>
          <w:szCs w:val="21"/>
          <w:highlight w:val="none"/>
          <w:lang w:eastAsia="zh-CN"/>
        </w:rPr>
        <w:t>，WD 0.1mm；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荧光光源：金属卤化物灯，寿命≥2000</w:t>
      </w:r>
      <w:r>
        <w:rPr>
          <w:rFonts w:hint="eastAsia" w:ascii="宋体" w:hAnsi="宋体" w:cs="宋体"/>
          <w:color w:val="auto"/>
          <w:sz w:val="21"/>
          <w:szCs w:val="21"/>
          <w:highlight w:val="none"/>
          <w:lang w:val="en-US" w:eastAsia="zh-CN"/>
        </w:rPr>
        <w:t>小时</w:t>
      </w:r>
      <w:r>
        <w:rPr>
          <w:rFonts w:hint="eastAsia" w:ascii="宋体" w:hAnsi="宋体" w:cs="宋体"/>
          <w:color w:val="auto"/>
          <w:sz w:val="21"/>
          <w:szCs w:val="21"/>
          <w:highlight w:val="none"/>
          <w:lang w:eastAsia="zh-CN"/>
        </w:rPr>
        <w:t>，光纤连接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、荧光滤块</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3</w:t>
      </w:r>
      <w:r>
        <w:rPr>
          <w:rFonts w:hint="eastAsia" w:ascii="宋体" w:hAnsi="宋体" w:cs="宋体"/>
          <w:color w:val="auto"/>
          <w:sz w:val="21"/>
          <w:szCs w:val="21"/>
          <w:highlight w:val="none"/>
          <w:lang w:eastAsia="zh-CN"/>
        </w:rPr>
        <w:t>个荧光滤块。激发波段340-380nm，发射波段长通425nm；激发波段4</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0-</w:t>
      </w:r>
      <w:r>
        <w:rPr>
          <w:rFonts w:hint="eastAsia" w:ascii="宋体" w:hAnsi="宋体" w:cs="宋体"/>
          <w:color w:val="auto"/>
          <w:sz w:val="21"/>
          <w:szCs w:val="21"/>
          <w:highlight w:val="none"/>
          <w:lang w:val="en-US" w:eastAsia="zh-CN"/>
        </w:rPr>
        <w:t>500</w:t>
      </w:r>
      <w:r>
        <w:rPr>
          <w:rFonts w:hint="eastAsia" w:ascii="宋体" w:hAnsi="宋体" w:cs="宋体"/>
          <w:color w:val="auto"/>
          <w:sz w:val="21"/>
          <w:szCs w:val="21"/>
          <w:highlight w:val="none"/>
          <w:lang w:eastAsia="zh-CN"/>
        </w:rPr>
        <w:t>nm，发射波段51</w:t>
      </w:r>
      <w:r>
        <w:rPr>
          <w:rFonts w:hint="eastAsia" w:ascii="宋体" w:hAnsi="宋体" w:cs="宋体"/>
          <w:color w:val="auto"/>
          <w:sz w:val="21"/>
          <w:szCs w:val="21"/>
          <w:highlight w:val="none"/>
          <w:lang w:val="en-US" w:eastAsia="zh-CN"/>
        </w:rPr>
        <w:t>3-540</w:t>
      </w:r>
      <w:r>
        <w:rPr>
          <w:rFonts w:hint="eastAsia" w:ascii="宋体" w:hAnsi="宋体" w:cs="宋体"/>
          <w:color w:val="auto"/>
          <w:sz w:val="21"/>
          <w:szCs w:val="21"/>
          <w:highlight w:val="none"/>
          <w:lang w:eastAsia="zh-CN"/>
        </w:rPr>
        <w:t>nm；激发波段515-560nm，发射波段长通590nm。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、观察筒：宽视野三目镜筒，FOV≥25mm，三段分光：0/50%/100%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2.12、目</w:t>
      </w:r>
      <w:r>
        <w:rPr>
          <w:rFonts w:hint="eastAsia" w:ascii="宋体" w:hAnsi="宋体" w:cs="宋体"/>
          <w:color w:val="auto"/>
          <w:sz w:val="21"/>
          <w:szCs w:val="21"/>
          <w:highlight w:val="none"/>
          <w:lang w:eastAsia="zh-CN"/>
        </w:rPr>
        <w:t>镜：10X宽视野目镜，视野数≥22mm，双目屈光度（</w:t>
      </w:r>
      <w:r>
        <w:rPr>
          <w:rFonts w:hint="eastAsia" w:ascii="宋体" w:hAnsi="宋体" w:cs="宋体"/>
          <w:color w:val="auto"/>
          <w:sz w:val="21"/>
          <w:szCs w:val="21"/>
          <w:highlight w:val="none"/>
          <w:lang w:val="en-US" w:eastAsia="zh-CN"/>
        </w:rPr>
        <w:t>-3到+1</w:t>
      </w:r>
      <w:r>
        <w:rPr>
          <w:rFonts w:hint="eastAsia" w:ascii="宋体" w:hAnsi="宋体" w:cs="宋体"/>
          <w:color w:val="auto"/>
          <w:sz w:val="21"/>
          <w:szCs w:val="21"/>
          <w:highlight w:val="none"/>
          <w:lang w:eastAsia="zh-CN"/>
        </w:rPr>
        <w:t>）可调。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2.13、智能聚光镜：阿贝聚光镜，适应5-100X物镜，数值孔径带有对应物镜的彩色标记，方便快速调节。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bookmarkStart w:id="2" w:name="_Hlk85295933"/>
      <w:r>
        <w:rPr>
          <w:rFonts w:hint="eastAsia" w:ascii="宋体" w:hAnsi="宋体" w:cs="宋体"/>
          <w:color w:val="auto"/>
          <w:sz w:val="21"/>
          <w:szCs w:val="21"/>
          <w:highlight w:val="none"/>
          <w:lang w:val="en-US" w:eastAsia="zh-CN"/>
        </w:rPr>
        <w:t>2.14、高分辨率数码彩色摄像头，分辨率：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 2000万像素；量子效率：≥84%/535nm；单个像元尺寸：≥2.40μm x 2.40μm；速度：≥67帧 /1824×1216</w:t>
      </w:r>
      <w:bookmarkEnd w:id="2"/>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★条款为实质性条款，不符合将导致投标文件被拒绝。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六、服务要求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质保期：供应商对所响应产品提供3年的免费上门保修，质保期自验收合格之日起计算。保修期内免费更换零配件，7×24小时技术响应，12小时内维修工程师到达维修现场。24小时内解决问题，如解决不了，须提供技术指标不低于原产品的备机供采购人免费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应商需提供：（1）响应产品详细的配置清单，包括产品名称、品牌、规格型号、数量等；（2）原厂标准的易耗品、消耗材料价格清单及折扣，质保期后设备维修的价格清单及折扣；（3）主要零配件价格清单，并指定专人（或专门机构）提供现场技术培训，其费用包含在磋商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4.由于设备的质量和安全问题造成的损失和人员伤亡事故由成交供应商负责赔偿，相关的损失及责任均由成交供应商自行承担。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5.在任何时候，成交供应商均不能免除因设备本身的缺陷所应付的责任。成交供应商有义务对所提供的货物实行终身维护和对设备进行定期的检测与维护。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6.未经采购人同意，成交供应商不得转让合同、转包或分包。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所响应产品涉及商品包装或快递包装的，按照《财政部办公厅、生态环境部办公厅、国家邮政局办公室关于印发&lt;商品包装政府采购需求标准（试行）&gt;、&lt;快递包装政府采购需求标准（试行）&gt;的通知》（财办库〔2020〕123号）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8.供应商须整包进行磋商，不得拆包分项响应。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9.供应商如为代理商须提供所投产品生产厂家或代理机构出具的产品授权书复印件（如为代理机构授权，供应商还须同时提供代理机构与生产厂家之间的销售授权证明），将授权书复印件并加盖供应商公章。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根据《医疗器械监督管理条例》的规定，供应商所投产品如属于第一类医疗器械，须提供医疗器械备案证明文件复印件并加盖公章，供应商所投产品如属于第二类或第三类医疗器械，须具备食品药品监督管理局颁发的在有效期内的中华人民共和国医疗器械注册证，提供证书复印件并加盖公章。</w:t>
      </w:r>
      <w:r>
        <w:rPr>
          <w:rFonts w:hint="eastAsia" w:ascii="宋体" w:hAnsi="宋体" w:cs="宋体"/>
          <w:b/>
          <w:bCs/>
          <w:color w:val="auto"/>
          <w:sz w:val="21"/>
          <w:szCs w:val="21"/>
          <w:highlight w:val="none"/>
          <w:lang w:val="en-US" w:eastAsia="zh-CN"/>
        </w:rPr>
        <w:t>（本条款为★条款，不符合将导致投标文件被拒绝）。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是否有配套耗材：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有 </w:t>
      </w:r>
      <w:r>
        <w:rPr>
          <w:rFonts w:hint="eastAsia" w:ascii="宋体" w:hAnsi="宋体" w:eastAsia="宋体" w:cs="宋体"/>
          <w:color w:val="auto"/>
          <w:sz w:val="21"/>
          <w:szCs w:val="21"/>
          <w:highlight w:val="none"/>
          <w:lang w:val="en-US" w:eastAsia="zh-CN"/>
        </w:rPr>
        <w:sym w:font="Wingdings" w:char="00FE"/>
      </w:r>
      <w:r>
        <w:rPr>
          <w:rFonts w:hint="eastAsia" w:ascii="宋体" w:hAnsi="宋体" w:eastAsia="宋体" w:cs="宋体"/>
          <w:color w:val="auto"/>
          <w:sz w:val="21"/>
          <w:szCs w:val="21"/>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A2AF0"/>
    <w:multiLevelType w:val="singleLevel"/>
    <w:tmpl w:val="2E7A2AF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39C5183"/>
    <w:rsid w:val="039C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kern w:val="0"/>
      <w:sz w:val="20"/>
      <w:szCs w:val="24"/>
    </w:rPr>
  </w:style>
  <w:style w:type="paragraph" w:customStyle="1" w:styleId="6">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2024-07-10T02:01:00Z</dcterms:created>
  <dc:creator>WPS_1547029868</dc:creator>
  <cp:lastModifiedBy>WPS_1547029868</cp:lastModifiedBy>
  <dcterms:modified xsi:type="dcterms:W3CDTF">2024-07-10T02:02:14Z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E138AE5030144D1C904BDCD25C301D7F_11</vt:lpwstr>
  </property>
</Properties>
</file>