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09" w:rsidRPr="00A9635B" w:rsidRDefault="009B3709" w:rsidP="009B3709">
      <w:pPr>
        <w:spacing w:line="480" w:lineRule="exact"/>
        <w:jc w:val="center"/>
        <w:rPr>
          <w:rFonts w:ascii="方正小标宋简体" w:eastAsia="方正小标宋简体" w:hAnsi="方正小标宋简体" w:cs="方正小标宋简体"/>
          <w:b/>
          <w:bCs/>
          <w:sz w:val="36"/>
          <w:szCs w:val="36"/>
        </w:rPr>
      </w:pPr>
      <w:r w:rsidRPr="00A9635B">
        <w:rPr>
          <w:rFonts w:ascii="方正小标宋简体" w:eastAsia="方正小标宋简体" w:hAnsi="方正小标宋简体" w:cs="方正小标宋简体" w:hint="eastAsia"/>
          <w:b/>
          <w:bCs/>
          <w:sz w:val="36"/>
          <w:szCs w:val="36"/>
        </w:rPr>
        <w:t>天津市滨海新区中医医院北塘院区变电站</w:t>
      </w:r>
    </w:p>
    <w:p w:rsidR="009B3709" w:rsidRPr="00A9635B" w:rsidRDefault="009B3709" w:rsidP="009B3709">
      <w:pPr>
        <w:spacing w:line="480" w:lineRule="exact"/>
        <w:jc w:val="center"/>
        <w:rPr>
          <w:rFonts w:ascii="方正小标宋简体" w:eastAsia="方正小标宋简体" w:hAnsi="方正小标宋简体" w:cs="方正小标宋简体"/>
          <w:b/>
          <w:bCs/>
          <w:sz w:val="36"/>
          <w:szCs w:val="36"/>
        </w:rPr>
      </w:pPr>
      <w:r w:rsidRPr="00A9635B">
        <w:rPr>
          <w:rFonts w:ascii="方正小标宋简体" w:eastAsia="方正小标宋简体" w:hAnsi="方正小标宋简体" w:cs="方正小标宋简体" w:hint="eastAsia"/>
          <w:b/>
          <w:bCs/>
          <w:sz w:val="36"/>
          <w:szCs w:val="36"/>
        </w:rPr>
        <w:t>维保服务项目需求书</w:t>
      </w:r>
    </w:p>
    <w:p w:rsidR="009B3709" w:rsidRPr="00A9635B" w:rsidRDefault="009B3709" w:rsidP="009B3709">
      <w:pPr>
        <w:autoSpaceDE w:val="0"/>
        <w:autoSpaceDN w:val="0"/>
        <w:adjustRightInd w:val="0"/>
        <w:snapToGrid w:val="0"/>
        <w:spacing w:line="360" w:lineRule="auto"/>
        <w:ind w:firstLineChars="200" w:firstLine="640"/>
        <w:rPr>
          <w:rFonts w:ascii="仿宋" w:eastAsia="仿宋" w:hAnsi="仿宋" w:cs="宋体"/>
          <w:sz w:val="32"/>
          <w:szCs w:val="32"/>
        </w:rPr>
      </w:pPr>
    </w:p>
    <w:p w:rsidR="009B3709" w:rsidRPr="00A9635B" w:rsidRDefault="009B3709" w:rsidP="009B3709">
      <w:pPr>
        <w:pStyle w:val="a6"/>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A9635B">
        <w:rPr>
          <w:rFonts w:ascii="仿宋" w:eastAsia="仿宋" w:hAnsi="仿宋" w:cs="宋体" w:hint="eastAsia"/>
          <w:bCs/>
          <w:sz w:val="32"/>
          <w:szCs w:val="32"/>
        </w:rPr>
        <w:t>项目情况</w:t>
      </w:r>
    </w:p>
    <w:p w:rsidR="009B3709" w:rsidRPr="00A9635B" w:rsidRDefault="009B3709" w:rsidP="009B3709">
      <w:pPr>
        <w:pStyle w:val="a6"/>
        <w:autoSpaceDE w:val="0"/>
        <w:autoSpaceDN w:val="0"/>
        <w:adjustRightInd w:val="0"/>
        <w:snapToGrid w:val="0"/>
        <w:spacing w:line="360" w:lineRule="auto"/>
        <w:ind w:firstLine="640"/>
        <w:rPr>
          <w:rFonts w:ascii="仿宋" w:eastAsia="仿宋" w:hAnsi="仿宋" w:cs="宋体"/>
          <w:bCs/>
          <w:sz w:val="32"/>
          <w:szCs w:val="32"/>
        </w:rPr>
      </w:pPr>
      <w:r w:rsidRPr="00A9635B">
        <w:rPr>
          <w:rFonts w:ascii="仿宋" w:eastAsia="仿宋" w:hAnsi="仿宋" w:cs="宋体" w:hint="eastAsia"/>
          <w:bCs/>
          <w:sz w:val="32"/>
          <w:szCs w:val="32"/>
        </w:rPr>
        <w:t>本项目为天津市滨海新区中医医院北塘院区变电站维保服务项目。</w:t>
      </w:r>
    </w:p>
    <w:p w:rsidR="009B3709" w:rsidRPr="00A9635B" w:rsidRDefault="009B3709" w:rsidP="009B3709">
      <w:pPr>
        <w:pStyle w:val="a6"/>
        <w:autoSpaceDE w:val="0"/>
        <w:autoSpaceDN w:val="0"/>
        <w:adjustRightInd w:val="0"/>
        <w:snapToGrid w:val="0"/>
        <w:spacing w:line="360" w:lineRule="auto"/>
        <w:ind w:firstLine="640"/>
        <w:rPr>
          <w:rFonts w:ascii="仿宋" w:eastAsia="仿宋" w:hAnsi="仿宋" w:cs="宋体"/>
          <w:bCs/>
          <w:sz w:val="32"/>
          <w:szCs w:val="32"/>
        </w:rPr>
      </w:pPr>
      <w:r w:rsidRPr="00A9635B">
        <w:rPr>
          <w:rFonts w:ascii="仿宋" w:eastAsia="仿宋" w:hAnsi="仿宋" w:cs="宋体" w:hint="eastAsia"/>
          <w:bCs/>
          <w:sz w:val="32"/>
          <w:szCs w:val="32"/>
        </w:rPr>
        <w:t>变电站共有10KV变压器4台，高压柜8台，低压柜82台，1500KVA发电机1台。维保服务包括自10KV进线端（与电力公司的管理分界点）起至低压出线端电缆搭接处范围以内设备的维护保养工作、变电站巡检工作、变电站预防性试验工作、EPS和UPS维护保养工作、发电机定期启动及维护保养工作、应急抢险工作、变电站高低压设备紧固工作、辅助安全绝缘胶垫检测工作、电气设备局放检测工作等。</w:t>
      </w:r>
    </w:p>
    <w:p w:rsidR="009B3709" w:rsidRPr="00A9635B" w:rsidRDefault="009B3709" w:rsidP="009B3709">
      <w:pPr>
        <w:pStyle w:val="a6"/>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A9635B">
        <w:rPr>
          <w:rFonts w:ascii="仿宋" w:eastAsia="仿宋" w:hAnsi="仿宋" w:cs="宋体" w:hint="eastAsia"/>
          <w:bCs/>
          <w:sz w:val="32"/>
          <w:szCs w:val="32"/>
        </w:rPr>
        <w:t>预算要求</w:t>
      </w:r>
    </w:p>
    <w:p w:rsidR="009B3709" w:rsidRPr="00A9635B" w:rsidRDefault="009B3709" w:rsidP="009B3709">
      <w:pPr>
        <w:pStyle w:val="a6"/>
        <w:autoSpaceDE w:val="0"/>
        <w:autoSpaceDN w:val="0"/>
        <w:adjustRightInd w:val="0"/>
        <w:snapToGrid w:val="0"/>
        <w:spacing w:line="360" w:lineRule="auto"/>
        <w:ind w:left="420" w:firstLineChars="0" w:firstLine="0"/>
        <w:rPr>
          <w:rFonts w:ascii="仿宋" w:eastAsia="仿宋" w:hAnsi="仿宋" w:cs="宋体"/>
          <w:bCs/>
          <w:sz w:val="32"/>
          <w:szCs w:val="32"/>
        </w:rPr>
      </w:pPr>
      <w:r w:rsidRPr="00A9635B">
        <w:rPr>
          <w:rFonts w:ascii="仿宋_GB2312" w:eastAsia="仿宋_GB2312" w:hAnsi="仿宋_GB2312" w:cs="仿宋_GB2312" w:hint="eastAsia"/>
          <w:sz w:val="30"/>
          <w:szCs w:val="30"/>
        </w:rPr>
        <w:t>项目预算为10.315万元/年。服务期自合同签订之日起一年。</w:t>
      </w:r>
    </w:p>
    <w:p w:rsidR="009B3709" w:rsidRPr="00A9635B" w:rsidRDefault="009B3709" w:rsidP="009B3709">
      <w:pPr>
        <w:pStyle w:val="a6"/>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A9635B">
        <w:rPr>
          <w:rFonts w:ascii="仿宋" w:eastAsia="仿宋" w:hAnsi="仿宋" w:cs="宋体" w:hint="eastAsia"/>
          <w:bCs/>
          <w:sz w:val="32"/>
          <w:szCs w:val="32"/>
        </w:rPr>
        <w:t>供应商资格要求</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具有独立承担民事责任能力的法人或其他组织。须提供证明供应商具有独立承担民事责任能力的相关证件原件或公证书原件。</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有依法缴纳税收和社会保障资金的良好记录。供应商须提供</w:t>
      </w:r>
      <w:r w:rsidRPr="00A9635B">
        <w:rPr>
          <w:rFonts w:ascii="仿宋" w:eastAsia="仿宋" w:hAnsi="仿宋" w:cs="宋体"/>
          <w:bCs/>
          <w:sz w:val="32"/>
          <w:szCs w:val="32"/>
        </w:rPr>
        <w:t>2024</w:t>
      </w:r>
      <w:r w:rsidRPr="00A9635B">
        <w:rPr>
          <w:rFonts w:ascii="仿宋" w:eastAsia="仿宋" w:hAnsi="仿宋" w:cs="宋体" w:hint="eastAsia"/>
          <w:bCs/>
          <w:sz w:val="32"/>
          <w:szCs w:val="32"/>
        </w:rPr>
        <w:t>年至少1个月的依法缴纳税收和社会保险费的相关证明材料扫描件或复印件并加盖公章。</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提交响应文件截止日前3年在经营活动中没有重大</w:t>
      </w:r>
      <w:r w:rsidRPr="00A9635B">
        <w:rPr>
          <w:rFonts w:ascii="仿宋" w:eastAsia="仿宋" w:hAnsi="仿宋" w:cs="宋体" w:hint="eastAsia"/>
          <w:bCs/>
          <w:sz w:val="32"/>
          <w:szCs w:val="32"/>
        </w:rPr>
        <w:lastRenderedPageBreak/>
        <w:t>违法记录的书面声明（截至提交响应文件截止日成立不足3年的供应商可提供自成立以来无重大违法记录的书面声明）并加盖公章。</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供应商须由法定代表人或其授权的委托代理人参加投标。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具有良好的商业信誉和健全的财务会计制度。须提供</w:t>
      </w:r>
      <w:r w:rsidRPr="00A9635B">
        <w:rPr>
          <w:rFonts w:ascii="仿宋" w:eastAsia="仿宋" w:hAnsi="仿宋" w:cs="宋体"/>
          <w:bCs/>
          <w:sz w:val="32"/>
          <w:szCs w:val="32"/>
        </w:rPr>
        <w:t>2023</w:t>
      </w:r>
      <w:r w:rsidRPr="00A9635B">
        <w:rPr>
          <w:rFonts w:ascii="仿宋" w:eastAsia="仿宋" w:hAnsi="仿宋" w:cs="宋体" w:hint="eastAsia"/>
          <w:bCs/>
          <w:sz w:val="32"/>
          <w:szCs w:val="32"/>
        </w:rPr>
        <w:t>年度经第三方会计师事务所审计的企业财务报告或提交响应文件截止日期前近3个月内银行出具的资信证明复印件并加盖公章。</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投标人须具有国家能源局或国家电力监管委员会颁发的在有效期内的《承装（修、试）电力设施许可证》，许可类别和等级包含承装类四级及以上、承修类四级及以上、承试类四级及以上。</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投标人须具备资质：输变电工程专业承包三级及以上资质。</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投标人须具有在有效期内的安全生产许可证。</w:t>
      </w:r>
    </w:p>
    <w:p w:rsidR="009B3709" w:rsidRPr="00A9635B" w:rsidRDefault="009B3709" w:rsidP="009B3709">
      <w:pPr>
        <w:pStyle w:val="a6"/>
        <w:numPr>
          <w:ilvl w:val="0"/>
          <w:numId w:val="2"/>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本项目不接受联合体投标，中标后不得分包或转包。</w:t>
      </w:r>
    </w:p>
    <w:p w:rsidR="009B3709" w:rsidRPr="00A9635B" w:rsidRDefault="009B3709" w:rsidP="009B3709">
      <w:pPr>
        <w:pStyle w:val="a6"/>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A9635B">
        <w:rPr>
          <w:rFonts w:ascii="仿宋" w:eastAsia="仿宋" w:hAnsi="仿宋" w:cs="宋体" w:hint="eastAsia"/>
          <w:bCs/>
          <w:sz w:val="32"/>
          <w:szCs w:val="32"/>
        </w:rPr>
        <w:lastRenderedPageBreak/>
        <w:t>维保服务要求</w:t>
      </w:r>
      <w:bookmarkStart w:id="0" w:name="_GoBack"/>
      <w:bookmarkEnd w:id="0"/>
    </w:p>
    <w:p w:rsidR="009B3709" w:rsidRPr="00A9635B" w:rsidRDefault="009B3709" w:rsidP="009B3709">
      <w:pPr>
        <w:spacing w:line="360" w:lineRule="auto"/>
        <w:rPr>
          <w:rFonts w:ascii="仿宋" w:eastAsia="仿宋" w:hAnsi="仿宋" w:cs="宋体"/>
          <w:sz w:val="32"/>
          <w:szCs w:val="32"/>
        </w:rPr>
      </w:pPr>
      <w:bookmarkStart w:id="1" w:name="_Toc20224"/>
      <w:r w:rsidRPr="00A9635B">
        <w:rPr>
          <w:rFonts w:ascii="仿宋" w:eastAsia="仿宋" w:hAnsi="仿宋" w:cs="宋体" w:hint="eastAsia"/>
          <w:b/>
          <w:bCs/>
          <w:sz w:val="32"/>
          <w:szCs w:val="32"/>
        </w:rPr>
        <w:t>（一）服务要求</w:t>
      </w:r>
    </w:p>
    <w:p w:rsidR="009B3709" w:rsidRPr="00A9635B" w:rsidRDefault="009B3709" w:rsidP="009B3709">
      <w:pPr>
        <w:pStyle w:val="a6"/>
        <w:numPr>
          <w:ilvl w:val="0"/>
          <w:numId w:val="3"/>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维保服务单位必须具有协助或代表医院与相关主管单位进行突发事件的处理和解决，并协调好各个方面关系能力。</w:t>
      </w:r>
    </w:p>
    <w:p w:rsidR="009B3709" w:rsidRPr="00A9635B" w:rsidRDefault="009B3709" w:rsidP="009B3709">
      <w:pPr>
        <w:pStyle w:val="a6"/>
        <w:numPr>
          <w:ilvl w:val="0"/>
          <w:numId w:val="3"/>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维保服务单位认真履行维保服务，严格按变电站运行操作等管理规章制度做好定期设备巡视检查、维护、消缺和清扫以及工作场所室内卫生，定期巡检时对站内运行情况做好记录。如遇突发事故，按规程及时处理，确保不发生影响医院安全的事故。按照电力公司及招标人要求的操作章程内容做好停、送电倒闸工作，不影响医院整体电力设备及电力线路运行。</w:t>
      </w:r>
    </w:p>
    <w:p w:rsidR="009B3709" w:rsidRPr="00A9635B" w:rsidRDefault="009B3709" w:rsidP="009B3709">
      <w:pPr>
        <w:pStyle w:val="a6"/>
        <w:numPr>
          <w:ilvl w:val="0"/>
          <w:numId w:val="3"/>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维保服务单位必须服从并积极配合招标人的日常管理以及完成相关单位的各类检查满足国家、天津市现行规范、规定及标准。根据电网电压及负荷情况随时调整，保证供电电压质量在合格范围。当达不到招标人要求及投标时各项服务承诺，招标人有权要求其整改，直至扣款或终止合同。</w:t>
      </w:r>
    </w:p>
    <w:p w:rsidR="009B3709" w:rsidRPr="00A9635B" w:rsidRDefault="009B3709" w:rsidP="009B3709">
      <w:pPr>
        <w:spacing w:line="360" w:lineRule="auto"/>
        <w:rPr>
          <w:rFonts w:ascii="仿宋" w:eastAsia="仿宋" w:hAnsi="仿宋" w:cs="宋体"/>
          <w:b/>
          <w:bCs/>
          <w:sz w:val="32"/>
          <w:szCs w:val="32"/>
        </w:rPr>
      </w:pPr>
      <w:r w:rsidRPr="00A9635B">
        <w:rPr>
          <w:rFonts w:ascii="仿宋" w:eastAsia="仿宋" w:hAnsi="仿宋" w:cs="宋体" w:hint="eastAsia"/>
          <w:b/>
          <w:bCs/>
          <w:sz w:val="32"/>
          <w:szCs w:val="32"/>
        </w:rPr>
        <w:t>（二）人员要求</w:t>
      </w:r>
    </w:p>
    <w:tbl>
      <w:tblPr>
        <w:tblW w:w="873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37"/>
        <w:gridCol w:w="957"/>
        <w:gridCol w:w="828"/>
        <w:gridCol w:w="4794"/>
        <w:gridCol w:w="1421"/>
      </w:tblGrid>
      <w:tr w:rsidR="009B3709" w:rsidRPr="00A9635B" w:rsidTr="009A10E6">
        <w:trPr>
          <w:trHeight w:val="621"/>
        </w:trPr>
        <w:tc>
          <w:tcPr>
            <w:tcW w:w="737" w:type="dxa"/>
            <w:noWrap/>
          </w:tcPr>
          <w:p w:rsidR="009B3709" w:rsidRPr="00A9635B" w:rsidRDefault="009B3709" w:rsidP="009A10E6">
            <w:pPr>
              <w:jc w:val="center"/>
              <w:rPr>
                <w:rFonts w:ascii="仿宋" w:eastAsia="仿宋" w:hAnsi="仿宋"/>
                <w:sz w:val="32"/>
                <w:szCs w:val="32"/>
              </w:rPr>
            </w:pPr>
            <w:r w:rsidRPr="00A9635B">
              <w:rPr>
                <w:rFonts w:ascii="仿宋" w:eastAsia="仿宋" w:hAnsi="仿宋" w:hint="eastAsia"/>
                <w:sz w:val="32"/>
                <w:szCs w:val="32"/>
              </w:rPr>
              <w:t>序号</w:t>
            </w:r>
          </w:p>
        </w:tc>
        <w:tc>
          <w:tcPr>
            <w:tcW w:w="957" w:type="dxa"/>
            <w:noWrap/>
          </w:tcPr>
          <w:p w:rsidR="009B3709" w:rsidRPr="00A9635B" w:rsidRDefault="009B3709" w:rsidP="009A10E6">
            <w:pPr>
              <w:jc w:val="center"/>
              <w:rPr>
                <w:rFonts w:ascii="仿宋" w:eastAsia="仿宋" w:hAnsi="仿宋"/>
                <w:sz w:val="32"/>
                <w:szCs w:val="32"/>
              </w:rPr>
            </w:pPr>
            <w:r w:rsidRPr="00A9635B">
              <w:rPr>
                <w:rFonts w:ascii="仿宋" w:eastAsia="仿宋" w:hAnsi="仿宋" w:hint="eastAsia"/>
                <w:sz w:val="32"/>
                <w:szCs w:val="32"/>
              </w:rPr>
              <w:t>岗位名称</w:t>
            </w:r>
          </w:p>
        </w:tc>
        <w:tc>
          <w:tcPr>
            <w:tcW w:w="828" w:type="dxa"/>
            <w:noWrap/>
          </w:tcPr>
          <w:p w:rsidR="009B3709" w:rsidRPr="00A9635B" w:rsidRDefault="009B3709" w:rsidP="009A10E6">
            <w:pPr>
              <w:jc w:val="center"/>
              <w:rPr>
                <w:rFonts w:ascii="仿宋" w:eastAsia="仿宋" w:hAnsi="仿宋"/>
                <w:sz w:val="32"/>
                <w:szCs w:val="32"/>
              </w:rPr>
            </w:pPr>
            <w:r w:rsidRPr="00A9635B">
              <w:rPr>
                <w:rFonts w:ascii="仿宋" w:eastAsia="仿宋" w:hAnsi="仿宋" w:hint="eastAsia"/>
                <w:sz w:val="32"/>
                <w:szCs w:val="32"/>
              </w:rPr>
              <w:t>人数</w:t>
            </w:r>
          </w:p>
        </w:tc>
        <w:tc>
          <w:tcPr>
            <w:tcW w:w="4794" w:type="dxa"/>
            <w:noWrap/>
          </w:tcPr>
          <w:p w:rsidR="009B3709" w:rsidRPr="00A9635B" w:rsidRDefault="009B3709" w:rsidP="009A10E6">
            <w:pPr>
              <w:jc w:val="center"/>
              <w:rPr>
                <w:rFonts w:ascii="仿宋" w:eastAsia="仿宋" w:hAnsi="仿宋"/>
                <w:sz w:val="32"/>
                <w:szCs w:val="32"/>
              </w:rPr>
            </w:pPr>
            <w:r w:rsidRPr="00A9635B">
              <w:rPr>
                <w:rFonts w:ascii="仿宋" w:eastAsia="仿宋" w:hAnsi="仿宋" w:hint="eastAsia"/>
                <w:sz w:val="32"/>
                <w:szCs w:val="32"/>
              </w:rPr>
              <w:t>要求</w:t>
            </w:r>
          </w:p>
        </w:tc>
        <w:tc>
          <w:tcPr>
            <w:tcW w:w="1421" w:type="dxa"/>
            <w:noWrap/>
          </w:tcPr>
          <w:p w:rsidR="009B3709" w:rsidRPr="00A9635B" w:rsidRDefault="009B3709" w:rsidP="009A10E6">
            <w:pPr>
              <w:jc w:val="center"/>
              <w:rPr>
                <w:rFonts w:ascii="仿宋" w:eastAsia="仿宋" w:hAnsi="仿宋"/>
                <w:sz w:val="32"/>
                <w:szCs w:val="32"/>
              </w:rPr>
            </w:pPr>
            <w:r w:rsidRPr="00A9635B">
              <w:rPr>
                <w:rFonts w:ascii="仿宋" w:eastAsia="仿宋" w:hAnsi="仿宋" w:hint="eastAsia"/>
                <w:sz w:val="32"/>
                <w:szCs w:val="32"/>
              </w:rPr>
              <w:t>是否接受</w:t>
            </w:r>
          </w:p>
          <w:p w:rsidR="009B3709" w:rsidRPr="00A9635B" w:rsidRDefault="009B3709" w:rsidP="009A10E6">
            <w:pPr>
              <w:jc w:val="center"/>
              <w:rPr>
                <w:rFonts w:ascii="仿宋" w:eastAsia="仿宋" w:hAnsi="仿宋"/>
                <w:sz w:val="32"/>
                <w:szCs w:val="32"/>
              </w:rPr>
            </w:pPr>
            <w:r w:rsidRPr="00A9635B">
              <w:rPr>
                <w:rFonts w:ascii="仿宋" w:eastAsia="仿宋" w:hAnsi="仿宋" w:hint="eastAsia"/>
                <w:sz w:val="32"/>
                <w:szCs w:val="32"/>
              </w:rPr>
              <w:t>退休人员</w:t>
            </w:r>
          </w:p>
        </w:tc>
      </w:tr>
      <w:tr w:rsidR="009B3709" w:rsidRPr="00A9635B" w:rsidTr="009A10E6">
        <w:trPr>
          <w:trHeight w:val="1125"/>
        </w:trPr>
        <w:tc>
          <w:tcPr>
            <w:tcW w:w="737" w:type="dxa"/>
            <w:noWrap/>
          </w:tcPr>
          <w:p w:rsidR="009B3709" w:rsidRPr="00A9635B" w:rsidRDefault="009B3709" w:rsidP="009A10E6">
            <w:pPr>
              <w:spacing w:line="360" w:lineRule="auto"/>
              <w:jc w:val="center"/>
              <w:rPr>
                <w:rFonts w:ascii="仿宋" w:eastAsia="仿宋" w:hAnsi="仿宋"/>
                <w:sz w:val="32"/>
                <w:szCs w:val="32"/>
              </w:rPr>
            </w:pPr>
            <w:r w:rsidRPr="00A9635B">
              <w:rPr>
                <w:rFonts w:ascii="仿宋" w:eastAsia="仿宋" w:hAnsi="仿宋" w:hint="eastAsia"/>
                <w:sz w:val="32"/>
                <w:szCs w:val="32"/>
              </w:rPr>
              <w:t>1</w:t>
            </w:r>
          </w:p>
        </w:tc>
        <w:tc>
          <w:tcPr>
            <w:tcW w:w="957" w:type="dxa"/>
            <w:noWrap/>
          </w:tcPr>
          <w:p w:rsidR="009B3709" w:rsidRPr="00A9635B" w:rsidRDefault="009B3709" w:rsidP="009A10E6">
            <w:pPr>
              <w:spacing w:line="360" w:lineRule="auto"/>
              <w:jc w:val="center"/>
              <w:rPr>
                <w:rFonts w:ascii="仿宋" w:eastAsia="仿宋" w:hAnsi="仿宋"/>
                <w:sz w:val="32"/>
                <w:szCs w:val="32"/>
              </w:rPr>
            </w:pPr>
            <w:r w:rsidRPr="00A9635B">
              <w:rPr>
                <w:rFonts w:ascii="仿宋" w:eastAsia="仿宋" w:hAnsi="仿宋" w:hint="eastAsia"/>
                <w:sz w:val="32"/>
                <w:szCs w:val="32"/>
              </w:rPr>
              <w:t>巡检人员</w:t>
            </w:r>
          </w:p>
        </w:tc>
        <w:tc>
          <w:tcPr>
            <w:tcW w:w="828" w:type="dxa"/>
            <w:noWrap/>
          </w:tcPr>
          <w:p w:rsidR="009B3709" w:rsidRPr="00A9635B" w:rsidRDefault="009B3709" w:rsidP="009A10E6">
            <w:pPr>
              <w:spacing w:line="360" w:lineRule="auto"/>
              <w:jc w:val="center"/>
              <w:rPr>
                <w:rFonts w:ascii="仿宋" w:eastAsia="仿宋" w:hAnsi="仿宋"/>
                <w:sz w:val="32"/>
                <w:szCs w:val="32"/>
              </w:rPr>
            </w:pPr>
            <w:r w:rsidRPr="00A9635B">
              <w:rPr>
                <w:rFonts w:ascii="仿宋" w:eastAsia="仿宋" w:hAnsi="仿宋" w:hint="eastAsia"/>
                <w:sz w:val="32"/>
                <w:szCs w:val="32"/>
              </w:rPr>
              <w:t>4</w:t>
            </w:r>
          </w:p>
        </w:tc>
        <w:tc>
          <w:tcPr>
            <w:tcW w:w="4794" w:type="dxa"/>
            <w:noWrap/>
          </w:tcPr>
          <w:p w:rsidR="009B3709" w:rsidRPr="00A9635B" w:rsidRDefault="009B3709" w:rsidP="009A10E6">
            <w:pPr>
              <w:spacing w:line="360" w:lineRule="auto"/>
              <w:jc w:val="center"/>
              <w:rPr>
                <w:rFonts w:ascii="仿宋" w:eastAsia="仿宋" w:hAnsi="仿宋"/>
                <w:sz w:val="32"/>
                <w:szCs w:val="32"/>
              </w:rPr>
            </w:pPr>
            <w:r w:rsidRPr="00A9635B">
              <w:rPr>
                <w:rFonts w:ascii="仿宋" w:eastAsia="仿宋" w:hAnsi="仿宋" w:hint="eastAsia"/>
                <w:sz w:val="32"/>
                <w:szCs w:val="32"/>
              </w:rPr>
              <w:t>定期巡检人员必须持有《中华人民共和国特种作业操作证（高压电工</w:t>
            </w:r>
            <w:r w:rsidRPr="00A9635B">
              <w:rPr>
                <w:rFonts w:ascii="仿宋" w:eastAsia="仿宋" w:hAnsi="仿宋" w:hint="eastAsia"/>
                <w:sz w:val="32"/>
                <w:szCs w:val="32"/>
              </w:rPr>
              <w:lastRenderedPageBreak/>
              <w:t>作业）》、《中华人民共和国特种作业操作证（低压电工作业）》并加盖公章。</w:t>
            </w:r>
          </w:p>
        </w:tc>
        <w:tc>
          <w:tcPr>
            <w:tcW w:w="1421" w:type="dxa"/>
            <w:noWrap/>
          </w:tcPr>
          <w:p w:rsidR="009B3709" w:rsidRPr="00A9635B" w:rsidRDefault="009B3709" w:rsidP="009A10E6">
            <w:pPr>
              <w:spacing w:line="360" w:lineRule="auto"/>
              <w:jc w:val="center"/>
              <w:rPr>
                <w:rFonts w:ascii="仿宋" w:eastAsia="仿宋" w:hAnsi="仿宋"/>
                <w:sz w:val="32"/>
                <w:szCs w:val="32"/>
              </w:rPr>
            </w:pPr>
            <w:r w:rsidRPr="00A9635B">
              <w:rPr>
                <w:rFonts w:ascii="仿宋" w:eastAsia="仿宋" w:hAnsi="仿宋" w:hint="eastAsia"/>
                <w:sz w:val="32"/>
                <w:szCs w:val="32"/>
              </w:rPr>
              <w:lastRenderedPageBreak/>
              <w:t>不接受</w:t>
            </w:r>
          </w:p>
        </w:tc>
      </w:tr>
    </w:tbl>
    <w:p w:rsidR="009B3709" w:rsidRPr="00A9635B" w:rsidRDefault="009B3709" w:rsidP="009B3709">
      <w:pPr>
        <w:spacing w:line="360" w:lineRule="auto"/>
        <w:rPr>
          <w:rFonts w:ascii="仿宋" w:eastAsia="仿宋" w:hAnsi="仿宋" w:cs="宋体"/>
          <w:b/>
          <w:bCs/>
          <w:sz w:val="32"/>
          <w:szCs w:val="32"/>
        </w:rPr>
      </w:pPr>
      <w:r w:rsidRPr="00A9635B">
        <w:rPr>
          <w:rFonts w:ascii="仿宋" w:eastAsia="仿宋" w:hAnsi="仿宋" w:cs="宋体" w:hint="eastAsia"/>
          <w:b/>
          <w:bCs/>
          <w:sz w:val="32"/>
          <w:szCs w:val="32"/>
        </w:rPr>
        <w:lastRenderedPageBreak/>
        <w:t>（三）工作要求</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定期巡检：维保服务单位每月一次需派出4人使用热成像对各站内高低压变配电设备进行巡视、维护、清扫（保持电缆沟干燥）；巡视项目包括设备负载、温度、噪音、线路等，同时提供巡检报告及资料影像。</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EPS、UPS维护：每月一次，一年12次，对各EPS、UPS点位内设备进行巡视、维护；巡视项目包括蓄电池外观、温度，同时提供巡检报告及资料影像。定期对电池进行冲放电维护保养、维修工作，确保全院EPS、UPS正常运行。</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按行业规定进行变电站预防性试验，以及其他本行业要求的检查检测的全程业务办理及费用，并出具试验报告。</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发电机保养：按照行业规定要求，对固定式油机常规保养（三油、三滤、蓄电池、防冻液及其他保养规范要求的零配件更换）及日常巡视。每3个月对发电机电池进行充放电检测，确保正常运行。按照行业规范要求，每半个月对发电机进行一次启动，排查机油机滤及防冻液有无减少，排查进油管出油管有无渗漏，对柴油发电机发出声音来判断有无杂音有无问题，柴油由医院提供。不间断巡检、抄送各种报表、严格监控调整保护、直流监控、电压、电容补偿、电</w:t>
      </w:r>
      <w:r w:rsidRPr="00A9635B">
        <w:rPr>
          <w:rFonts w:ascii="仿宋" w:eastAsia="仿宋" w:hAnsi="仿宋" w:cs="宋体" w:hint="eastAsia"/>
          <w:bCs/>
          <w:sz w:val="32"/>
          <w:szCs w:val="32"/>
        </w:rPr>
        <w:lastRenderedPageBreak/>
        <w:t>流峰值。安全、高效地利用好变电站所具有的设备优势，使其无功损耗降到最低点。</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清扫工作：按照维护保养周期要求对各站内高低压变配电设备进行巡视、维护、清扫（保持电缆沟干燥）、试验（每年进行一次由中标单位提供预防性试验检测报告），进行故障处理，确保不发生用电中断，并做好巡视、维护、故障等相关记录。</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安全工器具检测：每半年应按照相应的标准要求进行一次仪器仪表、安全工具器具检测。并张贴试验合格标志。</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制定应急事件预案，严格执行运行情况报告制度，及时上报事故、运行情况，发生事故应迅速组织应急抢修工作。汛期、雷雨天气中标方增派检修人员到现场，保障供电可靠性。</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应急抢险工作：负责对变电站设备事故抢修。负责对配电室变压器、高压柜、接地地阻、电力电缆、继电保护、避雷器(避雷系统)等工作保障。</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变电站高低压设备紧固工作：变压器4台，高压柜8台低压柜82台每次停电安排人员进行一次及二次设备螺丝紧固。</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辅助安全绝缘胶垫检测：对10kv变电站内所有的辅助安全绝缘胶垫进行预防性试验并粘贴合格标志。</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电气设备局放检测：变压器4台，高压柜8台低压柜</w:t>
      </w:r>
      <w:r w:rsidRPr="00A9635B">
        <w:rPr>
          <w:rFonts w:ascii="仿宋" w:eastAsia="仿宋" w:hAnsi="仿宋" w:cs="宋体" w:hint="eastAsia"/>
          <w:bCs/>
          <w:sz w:val="32"/>
          <w:szCs w:val="32"/>
        </w:rPr>
        <w:lastRenderedPageBreak/>
        <w:t>82台，每年进行一次电气设备局放检测，检测电气内部放电现象。</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变电站的高压进线线路进行应急改造、升级、维修、抢修等工作。</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在设备设施运行维护及检修过程中，如需更换配件，投标方免费提供单件次价值500元（含）及以下设备及维修更换工作，不再另外收取任何费用；如需更换配件单件次价值在500元以上的，更换的配件由招标方提供或按照相关规定单独进行采购。</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要建立和保管变电站相关技术资料和原始记录台帐，定期整理，保持资料的完整性及准确性。</w:t>
      </w:r>
    </w:p>
    <w:p w:rsidR="009B3709" w:rsidRPr="00A9635B" w:rsidRDefault="009B3709" w:rsidP="009B3709">
      <w:pPr>
        <w:pStyle w:val="a6"/>
        <w:numPr>
          <w:ilvl w:val="0"/>
          <w:numId w:val="4"/>
        </w:numPr>
        <w:autoSpaceDE w:val="0"/>
        <w:autoSpaceDN w:val="0"/>
        <w:adjustRightInd w:val="0"/>
        <w:snapToGrid w:val="0"/>
        <w:spacing w:line="360" w:lineRule="auto"/>
        <w:ind w:left="0" w:firstLine="640"/>
        <w:rPr>
          <w:rFonts w:ascii="仿宋" w:eastAsia="仿宋" w:hAnsi="仿宋" w:cs="宋体"/>
          <w:bCs/>
          <w:sz w:val="32"/>
          <w:szCs w:val="32"/>
        </w:rPr>
      </w:pPr>
      <w:r w:rsidRPr="00A9635B">
        <w:rPr>
          <w:rFonts w:ascii="仿宋" w:eastAsia="仿宋" w:hAnsi="仿宋" w:cs="宋体" w:hint="eastAsia"/>
          <w:bCs/>
          <w:sz w:val="32"/>
          <w:szCs w:val="32"/>
        </w:rPr>
        <w:t>严格遵守医院安全生产的相关制度要求，接受院方监管，配合院方做好其它相关工作。</w:t>
      </w:r>
    </w:p>
    <w:p w:rsidR="009B3709" w:rsidRPr="00A9635B" w:rsidRDefault="009B3709" w:rsidP="009B3709">
      <w:pPr>
        <w:pStyle w:val="a6"/>
        <w:numPr>
          <w:ilvl w:val="0"/>
          <w:numId w:val="1"/>
        </w:numPr>
        <w:autoSpaceDE w:val="0"/>
        <w:autoSpaceDN w:val="0"/>
        <w:adjustRightInd w:val="0"/>
        <w:snapToGrid w:val="0"/>
        <w:spacing w:line="360" w:lineRule="auto"/>
        <w:ind w:firstLineChars="0"/>
        <w:rPr>
          <w:rFonts w:ascii="仿宋" w:eastAsia="仿宋" w:hAnsi="仿宋" w:cs="宋体"/>
          <w:bCs/>
          <w:sz w:val="32"/>
          <w:szCs w:val="32"/>
        </w:rPr>
      </w:pPr>
      <w:r w:rsidRPr="00A9635B">
        <w:rPr>
          <w:rFonts w:ascii="仿宋" w:eastAsia="仿宋" w:hAnsi="仿宋" w:cs="宋体" w:hint="eastAsia"/>
          <w:bCs/>
          <w:sz w:val="32"/>
          <w:szCs w:val="32"/>
        </w:rPr>
        <w:t>付款及考核方式</w:t>
      </w:r>
    </w:p>
    <w:p w:rsidR="009B3709" w:rsidRPr="00A9635B" w:rsidRDefault="009B3709" w:rsidP="009B3709">
      <w:pPr>
        <w:ind w:firstLineChars="200" w:firstLine="600"/>
        <w:rPr>
          <w:rFonts w:ascii="仿宋_GB2312" w:eastAsia="仿宋_GB2312"/>
          <w:sz w:val="30"/>
          <w:szCs w:val="30"/>
        </w:rPr>
      </w:pPr>
      <w:r w:rsidRPr="00A9635B">
        <w:rPr>
          <w:rFonts w:ascii="仿宋_GB2312" w:eastAsia="仿宋_GB2312" w:hint="eastAsia"/>
          <w:sz w:val="30"/>
          <w:szCs w:val="30"/>
        </w:rPr>
        <w:t>采取后付方式，每3个月支付一次，合同期间共支付四次，每次凭正规发票支付合同总金额的25%。招标方每3个月进行一次验收考核，每次付款凭当期考核结果，支付当期的服务费用，招标方最终向投标方结算的维保费金额以实际考核后的结果为准。</w:t>
      </w:r>
    </w:p>
    <w:bookmarkEnd w:id="1"/>
    <w:p w:rsidR="009B3709" w:rsidRDefault="009B3709" w:rsidP="009B3709">
      <w:pPr>
        <w:ind w:firstLineChars="200" w:firstLine="600"/>
        <w:rPr>
          <w:rFonts w:ascii="仿宋_GB2312" w:eastAsia="仿宋_GB2312"/>
          <w:sz w:val="30"/>
          <w:szCs w:val="30"/>
        </w:rPr>
      </w:pPr>
      <w:r w:rsidRPr="00A9635B">
        <w:rPr>
          <w:rFonts w:ascii="仿宋_GB2312" w:eastAsia="仿宋_GB2312" w:hint="eastAsia"/>
          <w:sz w:val="30"/>
          <w:szCs w:val="30"/>
        </w:rPr>
        <w:t>考核表见附件，80分以上（含）为合格，采购人全额计算当期服务费。服务质量考核80分以下，按得分占合格分数（80分）的比例，计算当期服务费。采购人最终向中标单位结算的费</w:t>
      </w:r>
      <w:r w:rsidRPr="00A9635B">
        <w:rPr>
          <w:rFonts w:ascii="仿宋_GB2312" w:eastAsia="仿宋_GB2312" w:hint="eastAsia"/>
          <w:sz w:val="30"/>
          <w:szCs w:val="30"/>
        </w:rPr>
        <w:lastRenderedPageBreak/>
        <w:t>用金额以实际考核后的结果为准，并有权追偿中标单位因工作不到位给采购人造成的经济损失及法律责任。合同期服务内，考核结果累计3次不足80分或因中标单位工作不到位给采购人造成严重社会不良影响、重大经济损失或连带法律责任（包括但不限于民事赔偿责任、行政处罚等）的，采购人有权终止合同。</w:t>
      </w:r>
    </w:p>
    <w:p w:rsidR="009B3709" w:rsidRDefault="009B3709" w:rsidP="009B3709">
      <w:pPr>
        <w:widowControl/>
        <w:jc w:val="left"/>
      </w:pPr>
      <w:r>
        <w:rPr>
          <w:rFonts w:ascii="仿宋_GB2312" w:eastAsia="仿宋_GB2312"/>
          <w:sz w:val="30"/>
          <w:szCs w:val="30"/>
        </w:rPr>
        <w:br w:type="page"/>
      </w:r>
    </w:p>
    <w:tbl>
      <w:tblPr>
        <w:tblW w:w="0" w:type="auto"/>
        <w:tblLayout w:type="fixed"/>
        <w:tblCellMar>
          <w:left w:w="0" w:type="dxa"/>
          <w:right w:w="0" w:type="dxa"/>
        </w:tblCellMar>
        <w:tblLook w:val="04A0"/>
      </w:tblPr>
      <w:tblGrid>
        <w:gridCol w:w="282"/>
        <w:gridCol w:w="2666"/>
        <w:gridCol w:w="1864"/>
        <w:gridCol w:w="1521"/>
        <w:gridCol w:w="532"/>
        <w:gridCol w:w="532"/>
        <w:gridCol w:w="532"/>
        <w:gridCol w:w="407"/>
      </w:tblGrid>
      <w:tr w:rsidR="009B3709" w:rsidRPr="00A9635B" w:rsidTr="009B3709">
        <w:trPr>
          <w:trHeight w:val="300"/>
        </w:trPr>
        <w:tc>
          <w:tcPr>
            <w:tcW w:w="282" w:type="dxa"/>
            <w:tcBorders>
              <w:top w:val="nil"/>
              <w:left w:val="nil"/>
              <w:bottom w:val="nil"/>
              <w:right w:val="nil"/>
            </w:tcBorders>
            <w:noWrap/>
            <w:tcMar>
              <w:top w:w="15" w:type="dxa"/>
              <w:left w:w="15" w:type="dxa"/>
              <w:right w:w="15" w:type="dxa"/>
            </w:tcMar>
            <w:vAlign w:val="center"/>
          </w:tcPr>
          <w:p w:rsidR="009B3709" w:rsidRPr="00A9635B" w:rsidRDefault="009B3709" w:rsidP="009A10E6">
            <w:pPr>
              <w:jc w:val="left"/>
              <w:rPr>
                <w:rFonts w:ascii="仿宋_GB2312" w:eastAsia="仿宋_GB2312" w:hAnsi="仿宋_GB2312" w:cs="仿宋_GB2312"/>
                <w:sz w:val="22"/>
                <w:szCs w:val="22"/>
              </w:rPr>
            </w:pPr>
            <w:r>
              <w:rPr>
                <w:rFonts w:ascii="仿宋_GB2312" w:eastAsia="仿宋_GB2312"/>
                <w:sz w:val="30"/>
                <w:szCs w:val="30"/>
              </w:rPr>
              <w:lastRenderedPageBreak/>
              <w:br w:type="page"/>
            </w:r>
          </w:p>
        </w:tc>
        <w:tc>
          <w:tcPr>
            <w:tcW w:w="8054" w:type="dxa"/>
            <w:gridSpan w:val="7"/>
            <w:tcBorders>
              <w:top w:val="nil"/>
              <w:left w:val="nil"/>
              <w:bottom w:val="nil"/>
              <w:right w:val="nil"/>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32"/>
                <w:szCs w:val="32"/>
              </w:rPr>
            </w:pPr>
            <w:r w:rsidRPr="00A9635B">
              <w:rPr>
                <w:rFonts w:ascii="仿宋_GB2312" w:eastAsia="仿宋_GB2312" w:hAnsi="仿宋_GB2312" w:cs="仿宋_GB2312" w:hint="eastAsia"/>
                <w:kern w:val="0"/>
                <w:sz w:val="32"/>
                <w:szCs w:val="32"/>
              </w:rPr>
              <w:t>天津市滨海新区中医医院变电站安全运行管理服务考核表</w:t>
            </w:r>
          </w:p>
        </w:tc>
      </w:tr>
      <w:tr w:rsidR="009B3709" w:rsidRPr="00C73B15" w:rsidTr="009B3709">
        <w:trPr>
          <w:trHeight w:val="300"/>
        </w:trPr>
        <w:tc>
          <w:tcPr>
            <w:tcW w:w="282" w:type="dxa"/>
            <w:tcBorders>
              <w:top w:val="nil"/>
              <w:left w:val="nil"/>
              <w:bottom w:val="nil"/>
              <w:right w:val="nil"/>
            </w:tcBorders>
            <w:noWrap/>
            <w:tcMar>
              <w:top w:w="15" w:type="dxa"/>
              <w:left w:w="15" w:type="dxa"/>
              <w:right w:w="15" w:type="dxa"/>
            </w:tcMar>
            <w:vAlign w:val="center"/>
          </w:tcPr>
          <w:p w:rsidR="009B3709" w:rsidRPr="00C73B15" w:rsidRDefault="009B3709" w:rsidP="00C73B15">
            <w:pPr>
              <w:jc w:val="right"/>
              <w:rPr>
                <w:rFonts w:ascii="仿宋_GB2312" w:eastAsia="仿宋_GB2312"/>
                <w:sz w:val="24"/>
                <w:szCs w:val="30"/>
              </w:rPr>
            </w:pPr>
          </w:p>
        </w:tc>
        <w:tc>
          <w:tcPr>
            <w:tcW w:w="8054" w:type="dxa"/>
            <w:gridSpan w:val="7"/>
            <w:tcBorders>
              <w:top w:val="nil"/>
              <w:left w:val="nil"/>
              <w:bottom w:val="nil"/>
              <w:right w:val="nil"/>
            </w:tcBorders>
            <w:noWrap/>
            <w:tcMar>
              <w:top w:w="15" w:type="dxa"/>
              <w:left w:w="15" w:type="dxa"/>
              <w:right w:w="15" w:type="dxa"/>
            </w:tcMar>
            <w:vAlign w:val="center"/>
          </w:tcPr>
          <w:p w:rsidR="009B3709" w:rsidRPr="00C73B15" w:rsidRDefault="009B3709" w:rsidP="00C73B15">
            <w:pPr>
              <w:widowControl/>
              <w:jc w:val="right"/>
              <w:textAlignment w:val="center"/>
              <w:rPr>
                <w:rFonts w:ascii="仿宋_GB2312" w:eastAsia="仿宋_GB2312" w:hAnsi="仿宋_GB2312" w:cs="仿宋_GB2312"/>
                <w:kern w:val="0"/>
                <w:sz w:val="24"/>
                <w:szCs w:val="32"/>
              </w:rPr>
            </w:pPr>
            <w:r w:rsidRPr="00C73B15">
              <w:rPr>
                <w:rFonts w:ascii="仿宋_GB2312" w:eastAsia="仿宋_GB2312" w:hAnsi="仿宋_GB2312" w:cs="仿宋_GB2312" w:hint="eastAsia"/>
                <w:kern w:val="0"/>
                <w:sz w:val="24"/>
                <w:szCs w:val="32"/>
              </w:rPr>
              <w:t>年</w:t>
            </w:r>
            <w:r w:rsidR="00C73B15" w:rsidRPr="00C73B15">
              <w:rPr>
                <w:rFonts w:ascii="仿宋_GB2312" w:eastAsia="仿宋_GB2312" w:hAnsi="仿宋_GB2312" w:cs="仿宋_GB2312" w:hint="eastAsia"/>
                <w:kern w:val="0"/>
                <w:sz w:val="24"/>
                <w:szCs w:val="32"/>
              </w:rPr>
              <w:t xml:space="preserve"> 月</w:t>
            </w:r>
          </w:p>
        </w:tc>
      </w:tr>
      <w:tr w:rsidR="009B3709" w:rsidRPr="00A9635B" w:rsidTr="009B3709">
        <w:trPr>
          <w:trHeight w:val="315"/>
        </w:trPr>
        <w:tc>
          <w:tcPr>
            <w:tcW w:w="2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序号</w:t>
            </w:r>
          </w:p>
        </w:tc>
        <w:tc>
          <w:tcPr>
            <w:tcW w:w="6051" w:type="dxa"/>
            <w:gridSpan w:val="3"/>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扣罚项</w:t>
            </w:r>
          </w:p>
        </w:tc>
        <w:tc>
          <w:tcPr>
            <w:tcW w:w="53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项目分值</w:t>
            </w:r>
          </w:p>
        </w:tc>
        <w:tc>
          <w:tcPr>
            <w:tcW w:w="147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扣罚内容确认栏</w:t>
            </w:r>
          </w:p>
        </w:tc>
      </w:tr>
      <w:tr w:rsidR="009B3709" w:rsidRPr="00A9635B" w:rsidTr="009B3709">
        <w:trPr>
          <w:trHeight w:val="270"/>
        </w:trPr>
        <w:tc>
          <w:tcPr>
            <w:tcW w:w="2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2"/>
                <w:szCs w:val="22"/>
              </w:rPr>
            </w:pPr>
          </w:p>
        </w:tc>
        <w:tc>
          <w:tcPr>
            <w:tcW w:w="6051" w:type="dxa"/>
            <w:gridSpan w:val="3"/>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2"/>
                <w:szCs w:val="22"/>
              </w:rPr>
            </w:pPr>
          </w:p>
        </w:tc>
        <w:tc>
          <w:tcPr>
            <w:tcW w:w="53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时间地点</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事项</w:t>
            </w: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扣分数</w:t>
            </w:r>
          </w:p>
        </w:tc>
      </w:tr>
      <w:tr w:rsidR="009B3709" w:rsidRPr="00A9635B" w:rsidTr="009B3709">
        <w:trPr>
          <w:trHeight w:val="56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1</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乙方负责日常设施、设备运行状态检查、巡视并记录</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记录不完整或缺项</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发现一项扣2分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r>
      <w:tr w:rsidR="009B3709" w:rsidRPr="00A9635B" w:rsidTr="009B3709">
        <w:trPr>
          <w:trHeight w:val="46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2</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乙方日常更换配件执行情况</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超过甲方规定更换时间</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超过一天扣2分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r>
      <w:tr w:rsidR="009B3709" w:rsidRPr="00A9635B" w:rsidTr="009B3709">
        <w:trPr>
          <w:trHeight w:val="34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3</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紧急故障处理</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2小时内完成排查</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超过时间一次每次扣5分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15</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r>
      <w:tr w:rsidR="009B3709" w:rsidRPr="00A9635B" w:rsidTr="009B3709">
        <w:trPr>
          <w:trHeight w:val="56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4</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维保工作不规范，对乙方造成影响而受到投诉</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发生投诉</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每次扣2分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jc w:val="center"/>
              <w:rPr>
                <w:rFonts w:ascii="仿宋_GB2312" w:eastAsia="仿宋_GB2312" w:hAnsi="仿宋_GB2312" w:cs="仿宋_GB2312"/>
                <w:sz w:val="24"/>
              </w:rPr>
            </w:pPr>
          </w:p>
        </w:tc>
      </w:tr>
      <w:tr w:rsidR="009B3709" w:rsidRPr="00A9635B" w:rsidTr="009B3709">
        <w:trPr>
          <w:trHeight w:val="50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5</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发电机维保相关记录，并做好环境维护</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记录不完整或缺项，环境维护不达标</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发现一次扣5分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RPr="00A9635B" w:rsidTr="009B3709">
        <w:trPr>
          <w:trHeight w:val="36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6</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配电站设备进行预防性试验</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未及时交给甲方</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超过递交时间一次扣10分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RPr="00A9635B" w:rsidTr="009B3709">
        <w:trPr>
          <w:trHeight w:val="58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7</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应急预案</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每年至少一次应急演练</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超过递交时间一次扣10分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RPr="00A9635B" w:rsidTr="009B3709">
        <w:trPr>
          <w:trHeight w:val="46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8</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每年至少两次安全培训并考核</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未进行安全培训</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超过甲方规定时间一次扣5分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5</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RPr="00A9635B" w:rsidTr="009B3709">
        <w:trPr>
          <w:trHeight w:val="56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9</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维保人员技术水平不符合工作要求需更换</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未更换维保人员</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发现一次扣5分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RPr="00A9635B" w:rsidTr="009B3709">
        <w:trPr>
          <w:trHeight w:val="600"/>
        </w:trPr>
        <w:tc>
          <w:tcPr>
            <w:tcW w:w="2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4"/>
              </w:rPr>
            </w:pPr>
            <w:r w:rsidRPr="00A9635B">
              <w:rPr>
                <w:rFonts w:ascii="仿宋_GB2312" w:eastAsia="仿宋_GB2312" w:hAnsi="仿宋_GB2312" w:cs="仿宋_GB2312" w:hint="eastAsia"/>
                <w:kern w:val="0"/>
                <w:sz w:val="24"/>
              </w:rPr>
              <w:t>10</w:t>
            </w:r>
          </w:p>
        </w:tc>
        <w:tc>
          <w:tcPr>
            <w:tcW w:w="26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应积极配合甲方和上级检查，协调日常用电事宜。</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因不配合导致甲方工作无法进行</w:t>
            </w: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left"/>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发现一次扣5分</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RPr="00A9635B" w:rsidTr="009B3709">
        <w:trPr>
          <w:trHeight w:val="300"/>
        </w:trPr>
        <w:tc>
          <w:tcPr>
            <w:tcW w:w="294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合计</w:t>
            </w:r>
          </w:p>
        </w:tc>
        <w:tc>
          <w:tcPr>
            <w:tcW w:w="186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b/>
                <w:sz w:val="20"/>
              </w:rPr>
            </w:pPr>
          </w:p>
        </w:tc>
        <w:tc>
          <w:tcPr>
            <w:tcW w:w="15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b/>
                <w:sz w:val="20"/>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widowControl/>
              <w:jc w:val="center"/>
              <w:textAlignment w:val="center"/>
              <w:rPr>
                <w:rFonts w:ascii="仿宋_GB2312" w:eastAsia="仿宋_GB2312" w:hAnsi="仿宋_GB2312" w:cs="仿宋_GB2312"/>
                <w:b/>
                <w:sz w:val="20"/>
              </w:rPr>
            </w:pPr>
            <w:r w:rsidRPr="00A9635B">
              <w:rPr>
                <w:rFonts w:ascii="仿宋_GB2312" w:eastAsia="仿宋_GB2312" w:hAnsi="仿宋_GB2312" w:cs="仿宋_GB2312" w:hint="eastAsia"/>
                <w:b/>
                <w:kern w:val="0"/>
                <w:sz w:val="20"/>
              </w:rPr>
              <w:t>100</w:t>
            </w: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5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c>
          <w:tcPr>
            <w:tcW w:w="4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B3709" w:rsidRPr="00A9635B" w:rsidRDefault="009B3709" w:rsidP="009A10E6">
            <w:pPr>
              <w:rPr>
                <w:rFonts w:ascii="仿宋_GB2312" w:eastAsia="仿宋_GB2312" w:hAnsi="仿宋_GB2312" w:cs="仿宋_GB2312"/>
                <w:sz w:val="22"/>
                <w:szCs w:val="22"/>
              </w:rPr>
            </w:pPr>
          </w:p>
        </w:tc>
      </w:tr>
      <w:tr w:rsidR="009B3709" w:rsidTr="009B3709">
        <w:trPr>
          <w:trHeight w:val="270"/>
        </w:trPr>
        <w:tc>
          <w:tcPr>
            <w:tcW w:w="8336" w:type="dxa"/>
            <w:gridSpan w:val="8"/>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9B3709" w:rsidRDefault="009B3709" w:rsidP="009A10E6">
            <w:pPr>
              <w:widowControl/>
              <w:jc w:val="left"/>
              <w:textAlignment w:val="top"/>
              <w:rPr>
                <w:rFonts w:ascii="仿宋_GB2312" w:eastAsia="仿宋_GB2312" w:hAnsi="仿宋_GB2312" w:cs="仿宋_GB2312"/>
                <w:sz w:val="22"/>
                <w:szCs w:val="22"/>
              </w:rPr>
            </w:pPr>
            <w:r w:rsidRPr="00A9635B">
              <w:rPr>
                <w:rFonts w:ascii="仿宋_GB2312" w:eastAsia="仿宋_GB2312" w:hAnsi="仿宋_GB2312" w:cs="仿宋_GB2312" w:hint="eastAsia"/>
                <w:kern w:val="0"/>
                <w:sz w:val="22"/>
                <w:szCs w:val="22"/>
              </w:rPr>
              <w:t>备注：每季度考核一次。</w:t>
            </w:r>
          </w:p>
        </w:tc>
      </w:tr>
    </w:tbl>
    <w:p w:rsidR="009B3709" w:rsidRDefault="009B3709" w:rsidP="009B3709">
      <w:pPr>
        <w:rPr>
          <w:rFonts w:ascii="仿宋_GB2312" w:eastAsia="仿宋_GB2312" w:hAnsi="仿宋_GB2312" w:cs="仿宋_GB2312"/>
        </w:rPr>
      </w:pPr>
    </w:p>
    <w:p w:rsidR="009B3709" w:rsidRDefault="009B3709" w:rsidP="009B3709">
      <w:pPr>
        <w:ind w:firstLineChars="200" w:firstLine="640"/>
        <w:rPr>
          <w:rFonts w:ascii="仿宋" w:eastAsia="仿宋" w:hAnsi="仿宋"/>
          <w:sz w:val="32"/>
          <w:szCs w:val="32"/>
        </w:rPr>
      </w:pPr>
    </w:p>
    <w:p w:rsidR="009B3709" w:rsidRDefault="009B3709" w:rsidP="009B3709"/>
    <w:p w:rsidR="009B3709" w:rsidRPr="009B3709" w:rsidRDefault="009B3709" w:rsidP="009B3709">
      <w:pPr>
        <w:widowControl/>
        <w:jc w:val="left"/>
        <w:rPr>
          <w:rFonts w:ascii="黑体" w:eastAsia="黑体" w:hAnsi="黑体" w:cs="仿宋"/>
          <w:sz w:val="28"/>
          <w:szCs w:val="32"/>
        </w:rPr>
      </w:pPr>
    </w:p>
    <w:sectPr w:rsidR="009B3709" w:rsidRPr="009B3709" w:rsidSect="005B78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069" w:rsidRDefault="00B93069" w:rsidP="007A45E9">
      <w:r>
        <w:separator/>
      </w:r>
    </w:p>
  </w:endnote>
  <w:endnote w:type="continuationSeparator" w:id="1">
    <w:p w:rsidR="00B93069" w:rsidRDefault="00B93069" w:rsidP="007A4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069" w:rsidRDefault="00B93069" w:rsidP="007A45E9">
      <w:r>
        <w:separator/>
      </w:r>
    </w:p>
  </w:footnote>
  <w:footnote w:type="continuationSeparator" w:id="1">
    <w:p w:rsidR="00B93069" w:rsidRDefault="00B93069" w:rsidP="007A4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07C"/>
    <w:multiLevelType w:val="multilevel"/>
    <w:tmpl w:val="2937507C"/>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A2755F2"/>
    <w:multiLevelType w:val="multilevel"/>
    <w:tmpl w:val="2A2755F2"/>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92449CE"/>
    <w:multiLevelType w:val="multilevel"/>
    <w:tmpl w:val="692449CE"/>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9F20244"/>
    <w:multiLevelType w:val="multilevel"/>
    <w:tmpl w:val="79F20244"/>
    <w:lvl w:ilvl="0">
      <w:start w:val="1"/>
      <w:numFmt w:val="decimal"/>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5E9"/>
    <w:rsid w:val="00116306"/>
    <w:rsid w:val="00362363"/>
    <w:rsid w:val="003A4BB6"/>
    <w:rsid w:val="00485038"/>
    <w:rsid w:val="00487DA8"/>
    <w:rsid w:val="005B78FB"/>
    <w:rsid w:val="007A45E9"/>
    <w:rsid w:val="009B3709"/>
    <w:rsid w:val="00A640C6"/>
    <w:rsid w:val="00B93069"/>
    <w:rsid w:val="00C73B15"/>
    <w:rsid w:val="00D52F78"/>
    <w:rsid w:val="00E577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4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45E9"/>
    <w:rPr>
      <w:sz w:val="18"/>
      <w:szCs w:val="18"/>
    </w:rPr>
  </w:style>
  <w:style w:type="paragraph" w:styleId="a4">
    <w:name w:val="footer"/>
    <w:basedOn w:val="a"/>
    <w:link w:val="Char0"/>
    <w:uiPriority w:val="99"/>
    <w:semiHidden/>
    <w:unhideWhenUsed/>
    <w:rsid w:val="007A45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45E9"/>
    <w:rPr>
      <w:sz w:val="18"/>
      <w:szCs w:val="18"/>
    </w:rPr>
  </w:style>
  <w:style w:type="paragraph" w:styleId="a5">
    <w:name w:val="Balloon Text"/>
    <w:basedOn w:val="a"/>
    <w:link w:val="Char1"/>
    <w:uiPriority w:val="99"/>
    <w:semiHidden/>
    <w:unhideWhenUsed/>
    <w:rsid w:val="009B3709"/>
    <w:rPr>
      <w:sz w:val="18"/>
      <w:szCs w:val="18"/>
    </w:rPr>
  </w:style>
  <w:style w:type="character" w:customStyle="1" w:styleId="Char1">
    <w:name w:val="批注框文本 Char"/>
    <w:basedOn w:val="a0"/>
    <w:link w:val="a5"/>
    <w:uiPriority w:val="99"/>
    <w:semiHidden/>
    <w:rsid w:val="009B3709"/>
    <w:rPr>
      <w:rFonts w:ascii="Calibri" w:eastAsia="宋体" w:hAnsi="Calibri" w:cs="Times New Roman"/>
      <w:sz w:val="18"/>
      <w:szCs w:val="18"/>
    </w:rPr>
  </w:style>
  <w:style w:type="paragraph" w:styleId="a6">
    <w:name w:val="List Paragraph"/>
    <w:basedOn w:val="a"/>
    <w:uiPriority w:val="34"/>
    <w:qFormat/>
    <w:rsid w:val="009B3709"/>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E480-69B2-4024-B8EA-FBC42053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2024-10-09T02:19:00Z</dcterms:created>
  <dcterms:modified xsi:type="dcterms:W3CDTF">2024-10-15T01:16:00Z</dcterms:modified>
</cp:coreProperties>
</file>