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3327">
      <w:pPr>
        <w:widowControl/>
        <w:jc w:val="center"/>
        <w:outlineLvl w:val="0"/>
        <w:rPr>
          <w:rFonts w:hint="eastAsia" w:ascii="宋体" w:hAnsi="宋体" w:cs="宋体"/>
          <w:b/>
          <w:snapToGrid w:val="0"/>
          <w:sz w:val="32"/>
          <w:szCs w:val="32"/>
          <w:lang w:val="en-US"/>
        </w:rPr>
      </w:pPr>
      <w:bookmarkStart w:id="0" w:name="_Toc5175"/>
      <w:r>
        <w:rPr>
          <w:rFonts w:hint="eastAsia" w:ascii="宋体" w:hAnsi="宋体" w:cs="宋体"/>
          <w:b/>
          <w:snapToGrid w:val="0"/>
          <w:sz w:val="32"/>
          <w:szCs w:val="32"/>
          <w:lang w:val="en-US"/>
        </w:rPr>
        <w:t xml:space="preserve"> 项目需求书</w:t>
      </w:r>
      <w:bookmarkEnd w:id="0"/>
    </w:p>
    <w:p w14:paraId="74E4CF3C">
      <w:pPr>
        <w:widowControl/>
        <w:adjustRightInd/>
        <w:spacing w:line="240" w:lineRule="auto"/>
        <w:textAlignment w:val="auto"/>
        <w:rPr>
          <w:rFonts w:hint="eastAsia" w:ascii="宋体" w:hAnsi="宋体" w:cs="宋体"/>
          <w:b/>
          <w:bCs/>
          <w:szCs w:val="24"/>
          <w:lang w:val="en-US"/>
        </w:rPr>
      </w:pPr>
    </w:p>
    <w:p w14:paraId="576BB697">
      <w:pPr>
        <w:spacing w:line="360" w:lineRule="auto"/>
        <w:rPr>
          <w:rFonts w:hint="eastAsia" w:ascii="宋体" w:hAnsi="宋体" w:cs="宋体"/>
          <w:b/>
          <w:bCs/>
          <w:color w:val="000000"/>
          <w:szCs w:val="24"/>
        </w:rPr>
      </w:pPr>
      <w:r>
        <w:rPr>
          <w:rFonts w:hint="eastAsia" w:ascii="宋体" w:hAnsi="宋体" w:cs="宋体"/>
          <w:b/>
          <w:bCs/>
          <w:color w:val="000000"/>
          <w:szCs w:val="24"/>
          <w:lang w:val="en-US"/>
        </w:rPr>
        <w:t>一、</w:t>
      </w:r>
      <w:r>
        <w:rPr>
          <w:rFonts w:hint="eastAsia" w:ascii="宋体" w:hAnsi="宋体" w:cs="宋体"/>
          <w:b/>
          <w:bCs/>
          <w:color w:val="000000"/>
          <w:szCs w:val="24"/>
        </w:rPr>
        <w:t>项目概况</w:t>
      </w:r>
    </w:p>
    <w:p w14:paraId="606C5FD4">
      <w:pPr>
        <w:adjustRightInd/>
        <w:spacing w:line="360" w:lineRule="auto"/>
        <w:ind w:firstLine="480" w:firstLineChars="200"/>
        <w:jc w:val="both"/>
        <w:rPr>
          <w:rFonts w:hint="eastAsia" w:ascii="宋体" w:hAnsi="宋体" w:cs="宋体"/>
          <w:szCs w:val="24"/>
          <w:lang w:val="en-US"/>
        </w:rPr>
      </w:pPr>
      <w:r>
        <w:rPr>
          <w:rFonts w:hint="eastAsia" w:ascii="宋体" w:hAnsi="宋体" w:cs="宋体"/>
          <w:szCs w:val="24"/>
          <w:lang w:val="en-US"/>
        </w:rPr>
        <w:t>（一）项目概况</w:t>
      </w:r>
    </w:p>
    <w:p w14:paraId="36E1FB9C">
      <w:pPr>
        <w:adjustRightInd/>
        <w:spacing w:line="360" w:lineRule="auto"/>
        <w:ind w:firstLine="480" w:firstLineChars="200"/>
        <w:jc w:val="both"/>
        <w:rPr>
          <w:rFonts w:hint="eastAsia" w:ascii="宋体" w:hAnsi="宋体" w:cs="宋体"/>
          <w:szCs w:val="24"/>
          <w:lang w:val="en-US"/>
        </w:rPr>
      </w:pPr>
      <w:r>
        <w:rPr>
          <w:rFonts w:hint="eastAsia" w:ascii="宋体" w:hAnsi="宋体" w:cs="宋体"/>
          <w:szCs w:val="24"/>
          <w:lang w:val="en-US"/>
        </w:rPr>
        <w:t>天津中医药大学第四附属医院暨天津市滨海新区中医医院，是集医疗、预防、教学、科研、养生、保健、康复为一体的现代化三级综合中医医院，是滨海新区的中医医疗中心。现对天津市滨海新区中医医院2025年度医疗废物集中处置服务项目进行采购。</w:t>
      </w:r>
    </w:p>
    <w:p w14:paraId="6C65775A">
      <w:pPr>
        <w:adjustRightInd/>
        <w:spacing w:line="360" w:lineRule="auto"/>
        <w:ind w:firstLine="480" w:firstLineChars="200"/>
        <w:jc w:val="both"/>
        <w:rPr>
          <w:rFonts w:hint="eastAsia" w:ascii="宋体" w:hAnsi="宋体" w:cs="宋体"/>
          <w:szCs w:val="24"/>
          <w:lang w:val="en-US"/>
        </w:rPr>
      </w:pPr>
      <w:r>
        <w:rPr>
          <w:rFonts w:hint="eastAsia" w:ascii="宋体" w:hAnsi="宋体" w:cs="宋体"/>
          <w:szCs w:val="24"/>
          <w:lang w:val="en-US"/>
        </w:rPr>
        <w:t>本需求所称医疗废物是指《医疗废物分类目录》（国卫医函〔2021〕238号）中规定的医疗废物。根据原卫生部《关于明确医疗废物分类有关问题的通知》（卫办医发[2005]292号）规定，一次性输液瓶（袋）不属于医疗废物，不在本次采购范围内</w:t>
      </w:r>
    </w:p>
    <w:p w14:paraId="1CE1D741">
      <w:pPr>
        <w:adjustRightInd/>
        <w:spacing w:line="360" w:lineRule="auto"/>
        <w:jc w:val="both"/>
        <w:rPr>
          <w:rFonts w:hint="eastAsia" w:ascii="宋体" w:hAnsi="宋体" w:cs="宋体"/>
          <w:b/>
          <w:bCs/>
          <w:color w:val="000000"/>
          <w:szCs w:val="24"/>
        </w:rPr>
      </w:pPr>
      <w:r>
        <w:rPr>
          <w:rFonts w:hint="eastAsia" w:ascii="宋体" w:hAnsi="宋体" w:cs="宋体"/>
          <w:b/>
          <w:bCs/>
          <w:color w:val="000000"/>
          <w:szCs w:val="24"/>
        </w:rPr>
        <w:t>二、采购项目预（概）算</w:t>
      </w:r>
    </w:p>
    <w:p w14:paraId="66009522">
      <w:pPr>
        <w:adjustRightInd/>
        <w:spacing w:line="360" w:lineRule="auto"/>
        <w:ind w:firstLine="480" w:firstLineChars="200"/>
        <w:jc w:val="both"/>
        <w:rPr>
          <w:rFonts w:hint="eastAsia" w:ascii="宋体" w:hAnsi="宋体" w:cs="宋体"/>
          <w:szCs w:val="24"/>
        </w:rPr>
      </w:pPr>
      <w:r>
        <w:rPr>
          <w:rFonts w:hint="eastAsia" w:ascii="宋体" w:hAnsi="宋体" w:cs="宋体"/>
          <w:szCs w:val="24"/>
        </w:rPr>
        <w:t>预算金额：77.5625万元/壹年</w:t>
      </w:r>
    </w:p>
    <w:p w14:paraId="3D523252">
      <w:pPr>
        <w:adjustRightInd/>
        <w:spacing w:line="360" w:lineRule="auto"/>
        <w:ind w:firstLine="480" w:firstLineChars="200"/>
        <w:jc w:val="both"/>
        <w:rPr>
          <w:rFonts w:hint="eastAsia" w:ascii="宋体" w:hAnsi="宋体" w:cs="宋体"/>
          <w:szCs w:val="24"/>
        </w:rPr>
      </w:pPr>
      <w:r>
        <w:rPr>
          <w:rFonts w:hint="eastAsia" w:ascii="宋体" w:hAnsi="宋体" w:cs="宋体"/>
          <w:szCs w:val="24"/>
        </w:rPr>
        <w:t>服务期限： 1年</w:t>
      </w:r>
    </w:p>
    <w:p w14:paraId="4A8C7CC4">
      <w:pPr>
        <w:adjustRightInd/>
        <w:spacing w:line="360" w:lineRule="auto"/>
        <w:jc w:val="both"/>
        <w:rPr>
          <w:rFonts w:hint="eastAsia" w:ascii="宋体" w:hAnsi="宋体" w:cs="宋体"/>
          <w:b/>
          <w:bCs/>
          <w:color w:val="000000"/>
          <w:szCs w:val="24"/>
          <w:lang w:val="en-US"/>
        </w:rPr>
      </w:pPr>
      <w:r>
        <w:rPr>
          <w:rFonts w:hint="eastAsia" w:ascii="宋体" w:hAnsi="宋体" w:cs="宋体"/>
          <w:b/>
          <w:bCs/>
          <w:color w:val="000000"/>
          <w:szCs w:val="24"/>
          <w:lang w:eastAsia="zh-Hans"/>
        </w:rPr>
        <w:t>三、采购标的汇总表</w:t>
      </w:r>
      <w:r>
        <w:rPr>
          <w:rFonts w:hint="eastAsia" w:ascii="宋体" w:hAnsi="宋体" w:cs="宋体"/>
          <w:b/>
          <w:bCs/>
          <w:color w:val="000000"/>
          <w:szCs w:val="24"/>
          <w:lang w:val="en-US"/>
        </w:rPr>
        <w:t>：</w:t>
      </w:r>
    </w:p>
    <w:tbl>
      <w:tblPr>
        <w:tblStyle w:val="7"/>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09"/>
        <w:gridCol w:w="3119"/>
        <w:gridCol w:w="1417"/>
        <w:gridCol w:w="709"/>
        <w:gridCol w:w="564"/>
        <w:gridCol w:w="1562"/>
      </w:tblGrid>
      <w:tr w14:paraId="74D3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11" w:type="dxa"/>
            <w:noWrap w:val="0"/>
            <w:vAlign w:val="center"/>
          </w:tcPr>
          <w:p w14:paraId="6085F132">
            <w:pPr>
              <w:spacing w:line="240" w:lineRule="auto"/>
              <w:jc w:val="center"/>
              <w:rPr>
                <w:rFonts w:hint="eastAsia" w:ascii="宋体" w:hAnsi="宋体" w:cs="宋体"/>
                <w:b/>
                <w:color w:val="000000"/>
                <w:szCs w:val="24"/>
              </w:rPr>
            </w:pPr>
            <w:r>
              <w:rPr>
                <w:rFonts w:hint="eastAsia" w:ascii="宋体" w:hAnsi="宋体" w:cs="宋体"/>
                <w:b/>
                <w:color w:val="000000"/>
                <w:szCs w:val="24"/>
              </w:rPr>
              <w:t>包号</w:t>
            </w:r>
          </w:p>
        </w:tc>
        <w:tc>
          <w:tcPr>
            <w:tcW w:w="709" w:type="dxa"/>
            <w:noWrap w:val="0"/>
            <w:vAlign w:val="center"/>
          </w:tcPr>
          <w:p w14:paraId="0830046F">
            <w:pPr>
              <w:spacing w:line="240" w:lineRule="auto"/>
              <w:jc w:val="center"/>
              <w:rPr>
                <w:rFonts w:hint="eastAsia" w:ascii="宋体" w:hAnsi="宋体" w:cs="宋体"/>
                <w:b/>
                <w:color w:val="000000"/>
                <w:szCs w:val="24"/>
              </w:rPr>
            </w:pPr>
            <w:r>
              <w:rPr>
                <w:rFonts w:hint="eastAsia" w:ascii="宋体" w:hAnsi="宋体" w:cs="宋体"/>
                <w:b/>
                <w:color w:val="000000"/>
                <w:szCs w:val="24"/>
              </w:rPr>
              <w:t>序号</w:t>
            </w:r>
          </w:p>
        </w:tc>
        <w:tc>
          <w:tcPr>
            <w:tcW w:w="3119" w:type="dxa"/>
            <w:noWrap w:val="0"/>
            <w:vAlign w:val="center"/>
          </w:tcPr>
          <w:p w14:paraId="083828CD">
            <w:pPr>
              <w:spacing w:line="240" w:lineRule="auto"/>
              <w:jc w:val="center"/>
              <w:rPr>
                <w:rFonts w:hint="eastAsia" w:ascii="宋体" w:hAnsi="宋体" w:cs="宋体"/>
                <w:b/>
                <w:color w:val="000000"/>
                <w:szCs w:val="24"/>
              </w:rPr>
            </w:pPr>
            <w:r>
              <w:rPr>
                <w:rFonts w:hint="eastAsia" w:ascii="宋体" w:hAnsi="宋体" w:cs="宋体"/>
                <w:b/>
                <w:color w:val="000000"/>
                <w:szCs w:val="24"/>
              </w:rPr>
              <w:t>标的名称</w:t>
            </w:r>
          </w:p>
        </w:tc>
        <w:tc>
          <w:tcPr>
            <w:tcW w:w="1417" w:type="dxa"/>
            <w:noWrap w:val="0"/>
            <w:vAlign w:val="center"/>
          </w:tcPr>
          <w:p w14:paraId="00DA443C">
            <w:pPr>
              <w:spacing w:line="240" w:lineRule="auto"/>
              <w:jc w:val="center"/>
              <w:rPr>
                <w:rFonts w:hint="eastAsia" w:ascii="宋体" w:hAnsi="宋体" w:cs="宋体"/>
                <w:b/>
                <w:color w:val="000000"/>
                <w:szCs w:val="24"/>
              </w:rPr>
            </w:pPr>
            <w:r>
              <w:rPr>
                <w:rFonts w:hint="eastAsia" w:ascii="宋体" w:hAnsi="宋体" w:cs="宋体"/>
                <w:b/>
                <w:color w:val="000000"/>
                <w:szCs w:val="24"/>
              </w:rPr>
              <w:t>品目</w:t>
            </w:r>
          </w:p>
          <w:p w14:paraId="3400DB94">
            <w:pPr>
              <w:spacing w:line="240" w:lineRule="auto"/>
              <w:jc w:val="center"/>
              <w:rPr>
                <w:rFonts w:hint="eastAsia" w:ascii="宋体" w:hAnsi="宋体" w:cs="宋体"/>
                <w:b/>
                <w:color w:val="000000"/>
                <w:szCs w:val="24"/>
              </w:rPr>
            </w:pPr>
            <w:r>
              <w:rPr>
                <w:rFonts w:hint="eastAsia" w:ascii="宋体" w:hAnsi="宋体" w:cs="宋体"/>
                <w:b/>
                <w:color w:val="000000"/>
                <w:szCs w:val="24"/>
              </w:rPr>
              <w:t>分类编码</w:t>
            </w:r>
          </w:p>
        </w:tc>
        <w:tc>
          <w:tcPr>
            <w:tcW w:w="709" w:type="dxa"/>
            <w:noWrap w:val="0"/>
            <w:vAlign w:val="center"/>
          </w:tcPr>
          <w:p w14:paraId="35F41448">
            <w:pPr>
              <w:spacing w:line="240" w:lineRule="auto"/>
              <w:jc w:val="center"/>
              <w:rPr>
                <w:rFonts w:hint="eastAsia" w:ascii="宋体" w:hAnsi="宋体" w:cs="宋体"/>
                <w:b/>
                <w:color w:val="000000"/>
                <w:szCs w:val="24"/>
              </w:rPr>
            </w:pPr>
            <w:r>
              <w:rPr>
                <w:rFonts w:hint="eastAsia" w:ascii="宋体" w:hAnsi="宋体" w:cs="宋体"/>
                <w:b/>
                <w:color w:val="000000"/>
                <w:szCs w:val="24"/>
              </w:rPr>
              <w:t>计量</w:t>
            </w:r>
          </w:p>
          <w:p w14:paraId="54A4E381">
            <w:pPr>
              <w:spacing w:line="240" w:lineRule="auto"/>
              <w:jc w:val="center"/>
              <w:rPr>
                <w:rFonts w:hint="eastAsia" w:ascii="宋体" w:hAnsi="宋体" w:cs="宋体"/>
                <w:b/>
                <w:color w:val="000000"/>
                <w:szCs w:val="24"/>
              </w:rPr>
            </w:pPr>
            <w:r>
              <w:rPr>
                <w:rFonts w:hint="eastAsia" w:ascii="宋体" w:hAnsi="宋体" w:cs="宋体"/>
                <w:b/>
                <w:color w:val="000000"/>
                <w:szCs w:val="24"/>
              </w:rPr>
              <w:t>单位</w:t>
            </w:r>
          </w:p>
        </w:tc>
        <w:tc>
          <w:tcPr>
            <w:tcW w:w="564" w:type="dxa"/>
            <w:noWrap w:val="0"/>
            <w:vAlign w:val="center"/>
          </w:tcPr>
          <w:p w14:paraId="7506F7FA">
            <w:pPr>
              <w:spacing w:line="240" w:lineRule="auto"/>
              <w:jc w:val="center"/>
              <w:rPr>
                <w:rFonts w:hint="eastAsia" w:ascii="宋体" w:hAnsi="宋体" w:cs="宋体"/>
                <w:b/>
                <w:color w:val="000000"/>
                <w:szCs w:val="24"/>
              </w:rPr>
            </w:pPr>
            <w:r>
              <w:rPr>
                <w:rFonts w:hint="eastAsia" w:ascii="宋体" w:hAnsi="宋体" w:cs="宋体"/>
                <w:b/>
                <w:color w:val="000000"/>
                <w:szCs w:val="24"/>
              </w:rPr>
              <w:t>数量</w:t>
            </w:r>
          </w:p>
        </w:tc>
        <w:tc>
          <w:tcPr>
            <w:tcW w:w="1562" w:type="dxa"/>
            <w:noWrap w:val="0"/>
            <w:vAlign w:val="center"/>
          </w:tcPr>
          <w:p w14:paraId="2904A86B">
            <w:pPr>
              <w:spacing w:line="240" w:lineRule="auto"/>
              <w:jc w:val="center"/>
              <w:rPr>
                <w:rFonts w:hint="eastAsia" w:ascii="宋体" w:hAnsi="宋体" w:cs="宋体"/>
                <w:b/>
                <w:color w:val="000000"/>
                <w:szCs w:val="24"/>
              </w:rPr>
            </w:pPr>
            <w:r>
              <w:rPr>
                <w:rFonts w:hint="eastAsia" w:ascii="宋体" w:hAnsi="宋体" w:cs="宋体"/>
                <w:b/>
                <w:color w:val="000000"/>
                <w:szCs w:val="24"/>
              </w:rPr>
              <w:t>预（概）算</w:t>
            </w:r>
          </w:p>
        </w:tc>
      </w:tr>
      <w:tr w14:paraId="2E9C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11" w:type="dxa"/>
            <w:noWrap w:val="0"/>
            <w:vAlign w:val="center"/>
          </w:tcPr>
          <w:p w14:paraId="7CD5C2C4">
            <w:pPr>
              <w:snapToGrid w:val="0"/>
              <w:spacing w:line="240" w:lineRule="auto"/>
              <w:jc w:val="center"/>
              <w:rPr>
                <w:rFonts w:hint="eastAsia" w:ascii="宋体" w:hAnsi="宋体" w:cs="宋体"/>
                <w:b/>
                <w:color w:val="000000"/>
                <w:szCs w:val="24"/>
                <w:lang w:val="en-US"/>
              </w:rPr>
            </w:pPr>
            <w:r>
              <w:rPr>
                <w:rFonts w:hint="eastAsia" w:ascii="宋体" w:hAnsi="宋体" w:cs="宋体"/>
                <w:b/>
                <w:color w:val="000000"/>
                <w:szCs w:val="24"/>
                <w:lang w:val="en-US"/>
              </w:rPr>
              <w:t>1</w:t>
            </w:r>
          </w:p>
        </w:tc>
        <w:tc>
          <w:tcPr>
            <w:tcW w:w="709" w:type="dxa"/>
            <w:noWrap w:val="0"/>
            <w:vAlign w:val="center"/>
          </w:tcPr>
          <w:p w14:paraId="0CC48299">
            <w:pPr>
              <w:widowControl/>
              <w:adjustRightInd/>
              <w:spacing w:line="240" w:lineRule="auto"/>
              <w:jc w:val="center"/>
              <w:rPr>
                <w:rFonts w:hint="eastAsia" w:ascii="宋体" w:hAnsi="宋体" w:cs="宋体"/>
                <w:b/>
                <w:color w:val="000000"/>
                <w:szCs w:val="24"/>
                <w:lang w:val="en-US"/>
              </w:rPr>
            </w:pPr>
            <w:r>
              <w:rPr>
                <w:rFonts w:hint="eastAsia" w:ascii="宋体" w:hAnsi="宋体" w:cs="宋体"/>
                <w:b/>
                <w:color w:val="000000"/>
                <w:szCs w:val="24"/>
                <w:lang w:val="en-US"/>
              </w:rPr>
              <w:t>1</w:t>
            </w:r>
          </w:p>
        </w:tc>
        <w:tc>
          <w:tcPr>
            <w:tcW w:w="3119" w:type="dxa"/>
            <w:noWrap w:val="0"/>
            <w:vAlign w:val="center"/>
          </w:tcPr>
          <w:p w14:paraId="36844BCA">
            <w:pPr>
              <w:widowControl/>
              <w:adjustRightInd/>
              <w:spacing w:line="240" w:lineRule="auto"/>
              <w:jc w:val="center"/>
              <w:rPr>
                <w:rFonts w:hint="eastAsia" w:ascii="宋体" w:hAnsi="宋体" w:cs="宋体"/>
                <w:b/>
                <w:color w:val="000000"/>
                <w:szCs w:val="24"/>
                <w:lang w:val="en-US"/>
              </w:rPr>
            </w:pPr>
            <w:bookmarkStart w:id="1" w:name="_GoBack"/>
            <w:r>
              <w:rPr>
                <w:rFonts w:hint="eastAsia" w:ascii="宋体" w:hAnsi="宋体" w:cs="宋体"/>
                <w:b/>
                <w:color w:val="000000"/>
                <w:szCs w:val="24"/>
                <w:lang w:val="en-US"/>
              </w:rPr>
              <w:t>天津市滨海新区中医医院2025年度医疗废物集中处置服务项目</w:t>
            </w:r>
            <w:bookmarkEnd w:id="1"/>
          </w:p>
        </w:tc>
        <w:tc>
          <w:tcPr>
            <w:tcW w:w="1417" w:type="dxa"/>
            <w:noWrap w:val="0"/>
            <w:vAlign w:val="center"/>
          </w:tcPr>
          <w:p w14:paraId="184F4356">
            <w:pPr>
              <w:widowControl/>
              <w:adjustRightInd/>
              <w:spacing w:line="240" w:lineRule="auto"/>
              <w:jc w:val="center"/>
              <w:rPr>
                <w:rFonts w:hint="eastAsia" w:ascii="宋体" w:hAnsi="宋体" w:cs="宋体"/>
                <w:b/>
                <w:color w:val="000000"/>
                <w:szCs w:val="24"/>
                <w:lang w:val="en-US"/>
              </w:rPr>
            </w:pPr>
            <w:r>
              <w:rPr>
                <w:rFonts w:hint="eastAsia" w:ascii="宋体" w:hAnsi="宋体" w:cs="宋体"/>
                <w:b/>
                <w:color w:val="000000"/>
                <w:szCs w:val="24"/>
                <w:lang w:val="en-US"/>
              </w:rPr>
              <w:t>C07020401</w:t>
            </w:r>
          </w:p>
        </w:tc>
        <w:tc>
          <w:tcPr>
            <w:tcW w:w="709" w:type="dxa"/>
            <w:noWrap w:val="0"/>
            <w:vAlign w:val="center"/>
          </w:tcPr>
          <w:p w14:paraId="7D41D81F">
            <w:pPr>
              <w:snapToGrid w:val="0"/>
              <w:spacing w:line="240" w:lineRule="auto"/>
              <w:jc w:val="center"/>
              <w:rPr>
                <w:rFonts w:hint="eastAsia" w:ascii="宋体" w:hAnsi="宋体" w:cs="宋体"/>
                <w:b/>
                <w:color w:val="000000"/>
                <w:szCs w:val="24"/>
              </w:rPr>
            </w:pPr>
            <w:r>
              <w:rPr>
                <w:rFonts w:hint="eastAsia" w:ascii="宋体" w:hAnsi="宋体" w:cs="宋体"/>
                <w:b/>
                <w:color w:val="000000"/>
                <w:szCs w:val="24"/>
              </w:rPr>
              <w:t>年</w:t>
            </w:r>
          </w:p>
        </w:tc>
        <w:tc>
          <w:tcPr>
            <w:tcW w:w="564" w:type="dxa"/>
            <w:noWrap w:val="0"/>
            <w:vAlign w:val="center"/>
          </w:tcPr>
          <w:p w14:paraId="64380910">
            <w:pPr>
              <w:snapToGrid w:val="0"/>
              <w:spacing w:line="240" w:lineRule="auto"/>
              <w:jc w:val="center"/>
              <w:rPr>
                <w:rFonts w:hint="eastAsia" w:ascii="宋体" w:hAnsi="宋体" w:cs="宋体"/>
                <w:b/>
                <w:color w:val="000000"/>
                <w:kern w:val="2"/>
                <w:sz w:val="22"/>
                <w:szCs w:val="22"/>
                <w:lang w:val="en-US"/>
              </w:rPr>
            </w:pPr>
            <w:r>
              <w:rPr>
                <w:rFonts w:hint="eastAsia" w:ascii="宋体" w:hAnsi="宋体" w:cs="宋体"/>
                <w:b/>
                <w:color w:val="000000"/>
                <w:kern w:val="2"/>
                <w:sz w:val="22"/>
                <w:szCs w:val="22"/>
                <w:lang w:val="en-US"/>
              </w:rPr>
              <w:t>1</w:t>
            </w:r>
          </w:p>
        </w:tc>
        <w:tc>
          <w:tcPr>
            <w:tcW w:w="1562" w:type="dxa"/>
            <w:noWrap w:val="0"/>
            <w:vAlign w:val="center"/>
          </w:tcPr>
          <w:p w14:paraId="3C2AFEA0">
            <w:pPr>
              <w:snapToGrid w:val="0"/>
              <w:spacing w:line="240" w:lineRule="auto"/>
              <w:jc w:val="center"/>
              <w:rPr>
                <w:rFonts w:hint="eastAsia" w:ascii="宋体" w:hAnsi="宋体" w:cs="宋体"/>
                <w:b/>
                <w:color w:val="000000"/>
                <w:szCs w:val="24"/>
                <w:lang w:val="en-US"/>
              </w:rPr>
            </w:pPr>
            <w:r>
              <w:rPr>
                <w:rFonts w:hint="eastAsia" w:ascii="宋体" w:hAnsi="宋体" w:cs="宋体"/>
                <w:b/>
                <w:color w:val="000000"/>
                <w:szCs w:val="24"/>
                <w:lang w:val="en-US"/>
              </w:rPr>
              <w:t>77.5625万</w:t>
            </w:r>
          </w:p>
        </w:tc>
      </w:tr>
    </w:tbl>
    <w:p w14:paraId="1933785D">
      <w:pPr>
        <w:spacing w:line="360" w:lineRule="auto"/>
        <w:rPr>
          <w:rFonts w:hint="eastAsia" w:ascii="宋体" w:hAnsi="宋体" w:cs="宋体"/>
          <w:b/>
          <w:bCs/>
          <w:color w:val="000000"/>
          <w:szCs w:val="24"/>
          <w:lang w:eastAsia="zh-Hans"/>
        </w:rPr>
      </w:pPr>
      <w:r>
        <w:rPr>
          <w:rFonts w:hint="eastAsia" w:ascii="宋体" w:hAnsi="宋体" w:cs="宋体"/>
          <w:b/>
          <w:bCs/>
          <w:color w:val="000000"/>
          <w:szCs w:val="24"/>
          <w:lang w:val="en-US"/>
        </w:rPr>
        <w:t>四</w:t>
      </w:r>
      <w:r>
        <w:rPr>
          <w:rFonts w:hint="eastAsia" w:ascii="宋体" w:hAnsi="宋体" w:cs="宋体"/>
          <w:b/>
          <w:bCs/>
          <w:color w:val="000000"/>
          <w:szCs w:val="24"/>
          <w:lang w:eastAsia="zh-Hans"/>
        </w:rPr>
        <w:t>、技术商务要求</w:t>
      </w:r>
    </w:p>
    <w:p w14:paraId="0CBE2B5E">
      <w:pPr>
        <w:spacing w:line="360" w:lineRule="auto"/>
        <w:ind w:firstLine="480" w:firstLineChars="200"/>
        <w:rPr>
          <w:rFonts w:hint="eastAsia" w:ascii="宋体" w:hAnsi="宋体" w:cs="宋体"/>
          <w:color w:val="000000"/>
          <w:u w:val="single"/>
        </w:rPr>
      </w:pPr>
      <w:r>
        <w:rPr>
          <w:rFonts w:hint="eastAsia" w:ascii="宋体" w:hAnsi="宋体" w:cs="宋体"/>
          <w:color w:val="000000"/>
          <w:u w:val="single"/>
        </w:rPr>
        <w:t>1、技术要求</w:t>
      </w:r>
    </w:p>
    <w:p w14:paraId="09437290">
      <w:pPr>
        <w:spacing w:line="360" w:lineRule="auto"/>
        <w:ind w:firstLine="480" w:firstLineChars="200"/>
        <w:rPr>
          <w:rFonts w:hint="eastAsia" w:ascii="宋体" w:hAnsi="宋体" w:cs="宋体"/>
          <w:iCs/>
          <w:color w:val="000000"/>
          <w:u w:val="single"/>
          <w:shd w:val="clear" w:color="auto" w:fill="FFFFFF"/>
        </w:rPr>
      </w:pPr>
      <w:r>
        <w:rPr>
          <w:rFonts w:hint="eastAsia" w:ascii="宋体" w:hAnsi="宋体" w:cs="宋体"/>
          <w:iCs/>
          <w:color w:val="000000"/>
          <w:u w:val="single"/>
        </w:rPr>
        <w:t>1）</w:t>
      </w:r>
      <w:r>
        <w:rPr>
          <w:rFonts w:hint="eastAsia" w:ascii="宋体" w:hAnsi="宋体" w:cs="宋体"/>
          <w:iCs/>
          <w:u w:val="single"/>
        </w:rPr>
        <w:t>投标人应具备相应的处置能力，满足医疗废物的处置需要和应急处置需要。</w:t>
      </w:r>
      <w:r>
        <w:rPr>
          <w:rFonts w:hint="eastAsia" w:ascii="宋体" w:hAnsi="宋体" w:cs="宋体"/>
          <w:iCs/>
          <w:u w:val="single"/>
          <w:lang w:val="zh-CN"/>
        </w:rPr>
        <w:t>应严格按照《医疗废物管理条例》、《医疗废物集中处置技术规范》的规定，负责对</w:t>
      </w:r>
      <w:r>
        <w:rPr>
          <w:rFonts w:hint="eastAsia" w:ascii="宋体" w:hAnsi="宋体" w:cs="宋体"/>
          <w:iCs/>
          <w:u w:val="single"/>
        </w:rPr>
        <w:t>采购方</w:t>
      </w:r>
      <w:r>
        <w:rPr>
          <w:rFonts w:hint="eastAsia" w:ascii="宋体" w:hAnsi="宋体" w:cs="宋体"/>
          <w:iCs/>
          <w:u w:val="single"/>
          <w:lang w:val="zh-CN"/>
        </w:rPr>
        <w:t>产生的医疗废物进行收运和处置。收运</w:t>
      </w:r>
      <w:r>
        <w:rPr>
          <w:rFonts w:hint="eastAsia" w:ascii="宋体" w:hAnsi="宋体" w:cs="宋体"/>
          <w:iCs/>
          <w:u w:val="single"/>
        </w:rPr>
        <w:t>地点：</w:t>
      </w:r>
      <w:r>
        <w:rPr>
          <w:rFonts w:hint="eastAsia" w:ascii="宋体" w:hAnsi="宋体" w:cs="宋体"/>
          <w:iCs/>
          <w:color w:val="000000"/>
          <w:u w:val="single"/>
          <w:shd w:val="clear" w:color="auto" w:fill="FFFFFF"/>
        </w:rPr>
        <w:t>天津市滨海新区中医医院所管辖区域。</w:t>
      </w:r>
    </w:p>
    <w:p w14:paraId="7AF8A8D4">
      <w:pPr>
        <w:pStyle w:val="6"/>
        <w:spacing w:line="360" w:lineRule="auto"/>
        <w:ind w:left="0" w:firstLine="560"/>
        <w:rPr>
          <w:rFonts w:hint="eastAsia" w:ascii="宋体" w:hAnsi="宋体" w:eastAsia="宋体" w:cs="宋体"/>
          <w:iCs/>
          <w:sz w:val="24"/>
          <w:u w:val="single"/>
          <w:lang w:val="zh-CN"/>
        </w:rPr>
      </w:pPr>
      <w:r>
        <w:rPr>
          <w:rFonts w:hint="eastAsia" w:ascii="宋体" w:hAnsi="宋体" w:eastAsia="宋体" w:cs="宋体"/>
          <w:iCs/>
          <w:sz w:val="24"/>
          <w:u w:val="single"/>
          <w:lang w:val="zh-CN"/>
        </w:rPr>
        <w:t>2)投标人应具备相应的运输能力，具备专业的医疗废物运输专用车辆和运输医疗废物的资质《道路运输经营许可证》。并于开标时提供在有效期内的许可证原件。</w:t>
      </w:r>
    </w:p>
    <w:p w14:paraId="425D355F">
      <w:pPr>
        <w:widowControl/>
        <w:spacing w:line="360" w:lineRule="auto"/>
        <w:ind w:firstLine="480" w:firstLineChars="200"/>
        <w:rPr>
          <w:rFonts w:hint="eastAsia" w:ascii="宋体" w:hAnsi="宋体" w:cs="宋体"/>
          <w:iCs/>
          <w:u w:val="single"/>
        </w:rPr>
      </w:pPr>
      <w:r>
        <w:rPr>
          <w:rFonts w:hint="eastAsia" w:ascii="宋体" w:hAnsi="宋体" w:cs="宋体"/>
          <w:iCs/>
          <w:u w:val="single"/>
          <w:lang w:val="zh-CN"/>
        </w:rPr>
        <w:t>3）投标人应保证医院产生的医疗废物得到及时、安</w:t>
      </w:r>
      <w:r>
        <w:rPr>
          <w:rFonts w:hint="eastAsia" w:ascii="宋体" w:hAnsi="宋体" w:cs="宋体"/>
          <w:iCs/>
          <w:u w:val="single"/>
        </w:rPr>
        <w:t>全转运，至少保证每两天收集一次医疗废物，特殊情况时，具备提高收运频次的能力。</w:t>
      </w:r>
    </w:p>
    <w:p w14:paraId="41D07ECF">
      <w:pPr>
        <w:spacing w:line="360" w:lineRule="auto"/>
        <w:ind w:firstLine="480" w:firstLineChars="200"/>
        <w:rPr>
          <w:rFonts w:hint="eastAsia" w:ascii="宋体" w:hAnsi="宋体" w:cs="宋体"/>
          <w:iCs/>
          <w:u w:val="single"/>
        </w:rPr>
      </w:pPr>
      <w:r>
        <w:rPr>
          <w:rFonts w:hint="eastAsia" w:ascii="宋体" w:hAnsi="宋体" w:cs="宋体"/>
          <w:iCs/>
          <w:u w:val="single"/>
        </w:rPr>
        <w:t>4）投标人应具备丰富的运营管理经验，项目配备足够数量的专业技术人员和操作人员，从业人员应熟悉医疗废物处置的相关法律法规技术标准，严格遵守操作规程，确保医疗废物集中处置过程安全平稳，并具备完善的安全管理规定和应对突发事件的应急处理能力。</w:t>
      </w:r>
    </w:p>
    <w:p w14:paraId="42DC8178">
      <w:pPr>
        <w:spacing w:line="360" w:lineRule="auto"/>
        <w:ind w:firstLine="480" w:firstLineChars="200"/>
        <w:rPr>
          <w:rFonts w:hint="eastAsia" w:ascii="宋体" w:hAnsi="宋体" w:cs="宋体"/>
          <w:iCs/>
          <w:u w:val="single"/>
        </w:rPr>
      </w:pPr>
      <w:r>
        <w:rPr>
          <w:rFonts w:hint="eastAsia" w:ascii="宋体" w:hAnsi="宋体" w:cs="宋体"/>
          <w:iCs/>
          <w:u w:val="single"/>
        </w:rPr>
        <w:t>5）投标人应</w:t>
      </w:r>
      <w:r>
        <w:rPr>
          <w:rFonts w:hint="eastAsia" w:ascii="宋体" w:hAnsi="宋体" w:cs="宋体"/>
          <w:u w:val="single"/>
        </w:rPr>
        <w:t>属于《天津市医疗废物集中处置单位名录》范围内的企业。</w:t>
      </w:r>
    </w:p>
    <w:p w14:paraId="6D14A5AD">
      <w:pPr>
        <w:spacing w:line="360" w:lineRule="auto"/>
        <w:ind w:firstLine="480" w:firstLineChars="200"/>
        <w:rPr>
          <w:rFonts w:hint="eastAsia" w:ascii="宋体" w:hAnsi="宋体" w:cs="宋体"/>
          <w:color w:val="000000"/>
        </w:rPr>
      </w:pPr>
      <w:r>
        <w:rPr>
          <w:rFonts w:hint="eastAsia" w:ascii="宋体" w:hAnsi="宋体" w:cs="宋体"/>
          <w:color w:val="000000"/>
        </w:rPr>
        <w:t>2、商务要求</w:t>
      </w:r>
    </w:p>
    <w:p w14:paraId="32402D7B">
      <w:pPr>
        <w:spacing w:line="360" w:lineRule="auto"/>
        <w:ind w:firstLine="480" w:firstLineChars="200"/>
        <w:rPr>
          <w:rFonts w:hint="eastAsia" w:ascii="宋体" w:hAnsi="宋体" w:cs="宋体"/>
          <w:iCs/>
          <w:color w:val="000000"/>
          <w:u w:val="single"/>
        </w:rPr>
      </w:pPr>
      <w:r>
        <w:rPr>
          <w:rFonts w:hint="eastAsia" w:ascii="宋体" w:hAnsi="宋体" w:cs="宋体"/>
          <w:iCs/>
          <w:color w:val="000000"/>
          <w:u w:val="single"/>
        </w:rPr>
        <w:t>（1）采购标的时间：计划12月份</w:t>
      </w:r>
    </w:p>
    <w:p w14:paraId="613FC928">
      <w:pPr>
        <w:spacing w:line="360" w:lineRule="auto"/>
        <w:ind w:firstLine="480" w:firstLineChars="200"/>
        <w:rPr>
          <w:rFonts w:hint="eastAsia" w:ascii="宋体" w:hAnsi="宋体" w:cs="宋体"/>
          <w:iCs/>
          <w:color w:val="000000"/>
          <w:u w:val="single"/>
        </w:rPr>
      </w:pPr>
      <w:r>
        <w:rPr>
          <w:rFonts w:hint="eastAsia" w:ascii="宋体" w:hAnsi="宋体" w:cs="宋体"/>
          <w:iCs/>
          <w:color w:val="000000"/>
          <w:u w:val="single"/>
        </w:rPr>
        <w:t>（2）采购标的地点：</w:t>
      </w:r>
      <w:r>
        <w:rPr>
          <w:rFonts w:hint="eastAsia" w:ascii="宋体" w:hAnsi="宋体" w:cs="宋体"/>
          <w:u w:val="single"/>
        </w:rPr>
        <w:t>天津市滨海新区中医医院</w:t>
      </w:r>
    </w:p>
    <w:p w14:paraId="1A7E809A">
      <w:pPr>
        <w:spacing w:line="360" w:lineRule="auto"/>
        <w:ind w:firstLine="480" w:firstLineChars="200"/>
        <w:rPr>
          <w:rFonts w:hint="eastAsia" w:ascii="宋体" w:hAnsi="宋体" w:cs="宋体"/>
          <w:iCs/>
          <w:color w:val="000000"/>
          <w:u w:val="single"/>
        </w:rPr>
      </w:pPr>
      <w:r>
        <w:rPr>
          <w:rFonts w:hint="eastAsia" w:ascii="宋体" w:hAnsi="宋体" w:cs="宋体"/>
          <w:iCs/>
          <w:color w:val="000000"/>
          <w:u w:val="single"/>
        </w:rPr>
        <w:t>（3）资格要求：</w:t>
      </w:r>
    </w:p>
    <w:p w14:paraId="05B4802D">
      <w:pPr>
        <w:spacing w:line="360" w:lineRule="auto"/>
        <w:ind w:firstLine="480" w:firstLineChars="200"/>
        <w:rPr>
          <w:rFonts w:hint="eastAsia" w:ascii="宋体" w:hAnsi="宋体" w:cs="宋体"/>
          <w:u w:val="single"/>
        </w:rPr>
      </w:pPr>
      <w:r>
        <w:rPr>
          <w:rFonts w:hint="eastAsia" w:ascii="宋体" w:hAnsi="宋体" w:cs="宋体"/>
          <w:u w:val="single"/>
        </w:rPr>
        <w:t>医疗废物集中处置单位（以下简称“投标人”）须具备《中华人民共和国政府采购法》第二十二条第一款规定的条件。</w:t>
      </w:r>
    </w:p>
    <w:p w14:paraId="4C4F5F9C">
      <w:pPr>
        <w:spacing w:line="360" w:lineRule="auto"/>
        <w:ind w:firstLine="480" w:firstLineChars="200"/>
        <w:rPr>
          <w:rFonts w:hint="eastAsia" w:ascii="宋体" w:hAnsi="宋体" w:cs="宋体"/>
          <w:u w:val="single"/>
        </w:rPr>
      </w:pPr>
      <w:r>
        <w:rPr>
          <w:rFonts w:hint="eastAsia" w:ascii="宋体" w:hAnsi="宋体" w:cs="宋体"/>
          <w:u w:val="single"/>
        </w:rPr>
        <w:t>1） 营业执照副本或事业单位法人证书或民办非企业单位登记证书或社会团体法人登记证书或基金会法人登记证书扫描件或自然人的身份证明扫描件。</w:t>
      </w:r>
    </w:p>
    <w:p w14:paraId="6C8876DB">
      <w:pPr>
        <w:spacing w:line="360" w:lineRule="auto"/>
        <w:ind w:firstLine="480" w:firstLineChars="200"/>
        <w:rPr>
          <w:rFonts w:hint="eastAsia" w:ascii="宋体" w:hAnsi="宋体" w:cs="宋体"/>
          <w:u w:val="single"/>
        </w:rPr>
      </w:pPr>
      <w:r>
        <w:rPr>
          <w:rFonts w:hint="eastAsia" w:ascii="宋体" w:hAnsi="宋体" w:cs="宋体"/>
          <w:u w:val="single"/>
        </w:rPr>
        <w:t>2） 财务状况报告等相关材料：</w:t>
      </w:r>
    </w:p>
    <w:p w14:paraId="66C31D1F">
      <w:pPr>
        <w:spacing w:line="360" w:lineRule="auto"/>
        <w:ind w:firstLine="480" w:firstLineChars="200"/>
        <w:rPr>
          <w:rFonts w:hint="eastAsia" w:ascii="宋体" w:hAnsi="宋体" w:cs="宋体"/>
          <w:u w:val="single"/>
        </w:rPr>
      </w:pPr>
      <w:r>
        <w:rPr>
          <w:rFonts w:hint="eastAsia" w:ascii="宋体" w:hAnsi="宋体" w:cs="宋体"/>
          <w:u w:val="single"/>
        </w:rPr>
        <w:t>A. 经第三方会计师事务所审计的2023年度财务报告扫描件。</w:t>
      </w:r>
    </w:p>
    <w:p w14:paraId="46E13DCA">
      <w:pPr>
        <w:spacing w:line="360" w:lineRule="auto"/>
        <w:ind w:firstLine="480" w:firstLineChars="200"/>
        <w:rPr>
          <w:rFonts w:hint="eastAsia" w:ascii="宋体" w:hAnsi="宋体" w:cs="宋体"/>
          <w:u w:val="single"/>
        </w:rPr>
      </w:pPr>
      <w:r>
        <w:rPr>
          <w:rFonts w:hint="eastAsia" w:ascii="宋体" w:hAnsi="宋体" w:cs="宋体"/>
          <w:u w:val="single"/>
        </w:rPr>
        <w:t>B</w:t>
      </w:r>
      <w:r>
        <w:rPr>
          <w:rFonts w:hint="eastAsia" w:ascii="宋体" w:hAnsi="宋体" w:cs="宋体"/>
          <w:b/>
          <w:u w:val="single"/>
        </w:rPr>
        <w:t xml:space="preserve">. </w:t>
      </w:r>
      <w:r>
        <w:rPr>
          <w:rFonts w:hint="eastAsia" w:ascii="宋体" w:hAnsi="宋体" w:cs="宋体"/>
          <w:u w:val="single"/>
        </w:rPr>
        <w:t>2024年度银行出具的资信证明扫描件。</w:t>
      </w:r>
    </w:p>
    <w:p w14:paraId="5C585014">
      <w:pPr>
        <w:spacing w:line="360" w:lineRule="auto"/>
        <w:ind w:firstLine="480" w:firstLineChars="200"/>
        <w:rPr>
          <w:rFonts w:hint="eastAsia" w:ascii="宋体" w:hAnsi="宋体" w:cs="宋体"/>
          <w:u w:val="single"/>
        </w:rPr>
      </w:pPr>
      <w:r>
        <w:rPr>
          <w:rFonts w:hint="eastAsia" w:ascii="宋体" w:hAnsi="宋体" w:cs="宋体"/>
          <w:u w:val="single"/>
        </w:rPr>
        <w:t>注：A、B两项提供任意一项均可。</w:t>
      </w:r>
    </w:p>
    <w:p w14:paraId="3515F761">
      <w:pPr>
        <w:spacing w:line="360" w:lineRule="auto"/>
        <w:ind w:firstLine="480" w:firstLineChars="200"/>
        <w:rPr>
          <w:rFonts w:hint="eastAsia" w:ascii="宋体" w:hAnsi="宋体" w:cs="宋体"/>
          <w:u w:val="single"/>
        </w:rPr>
      </w:pPr>
      <w:r>
        <w:rPr>
          <w:rFonts w:hint="eastAsia" w:ascii="宋体" w:hAnsi="宋体" w:cs="宋体"/>
          <w:u w:val="single"/>
        </w:rPr>
        <w:t>3） 2024年至少1个的依法缴纳税收和社会保险费的相关证明材料扫描件或复印件并加盖公章。</w:t>
      </w:r>
    </w:p>
    <w:p w14:paraId="0F79D3EE">
      <w:pPr>
        <w:spacing w:line="360" w:lineRule="auto"/>
        <w:ind w:firstLine="480" w:firstLineChars="200"/>
        <w:rPr>
          <w:rFonts w:hint="eastAsia" w:ascii="宋体" w:hAnsi="宋体" w:cs="宋体"/>
          <w:u w:val="single"/>
        </w:rPr>
      </w:pPr>
      <w:r>
        <w:rPr>
          <w:rFonts w:hint="eastAsia" w:ascii="宋体" w:hAnsi="宋体" w:cs="宋体"/>
          <w:u w:val="single"/>
        </w:rPr>
        <w:t>4) 投标截止日前3年在经营活动中没有重大违法记录的书面声明（截至开标日成立不足3年的投标人可提供自成立以来无重大违法记录的书面声明）</w:t>
      </w:r>
      <w:r>
        <w:rPr>
          <w:rFonts w:hint="eastAsia" w:ascii="宋体" w:hAnsi="宋体" w:cs="宋体"/>
        </w:rPr>
        <w:t>。</w:t>
      </w:r>
    </w:p>
    <w:p w14:paraId="105FEC35">
      <w:pPr>
        <w:spacing w:line="360" w:lineRule="auto"/>
        <w:ind w:firstLine="480" w:firstLineChars="200"/>
        <w:rPr>
          <w:rFonts w:hint="eastAsia" w:ascii="宋体" w:hAnsi="宋体" w:cs="宋体"/>
          <w:u w:val="single"/>
        </w:rPr>
      </w:pPr>
      <w:r>
        <w:rPr>
          <w:rFonts w:hint="eastAsia" w:ascii="宋体" w:hAnsi="宋体" w:cs="宋体"/>
          <w:u w:val="single"/>
        </w:rPr>
        <w:t>5) 本项目不接受联合体投标，提供声明函并加盖公章</w:t>
      </w:r>
      <w:r>
        <w:rPr>
          <w:rFonts w:hint="eastAsia" w:ascii="宋体" w:hAnsi="宋体" w:cs="宋体"/>
        </w:rPr>
        <w:t>。</w:t>
      </w:r>
    </w:p>
    <w:p w14:paraId="6D7D5563">
      <w:pPr>
        <w:spacing w:line="360" w:lineRule="auto"/>
        <w:ind w:firstLine="480" w:firstLineChars="200"/>
        <w:rPr>
          <w:rFonts w:hint="eastAsia" w:ascii="宋体" w:hAnsi="宋体" w:cs="宋体"/>
          <w:u w:val="single"/>
        </w:rPr>
      </w:pPr>
      <w:r>
        <w:rPr>
          <w:rFonts w:hint="eastAsia" w:ascii="宋体" w:hAnsi="宋体" w:cs="宋体"/>
          <w:color w:val="000000"/>
          <w:u w:val="single"/>
        </w:rPr>
        <w:t xml:space="preserve">6) </w:t>
      </w:r>
      <w:r>
        <w:rPr>
          <w:rFonts w:hint="eastAsia" w:ascii="宋体" w:hAnsi="宋体" w:cs="宋体"/>
          <w:u w:val="single"/>
        </w:rPr>
        <w:t xml:space="preserve">投标人具备在有效期内的《危险废物经营许可证》，且经营范围包括 HW01 医疗废物 </w:t>
      </w:r>
      <w:r>
        <w:rPr>
          <w:rFonts w:hint="eastAsia" w:ascii="宋体" w:hAnsi="宋体" w:cs="宋体"/>
        </w:rPr>
        <w:t>。</w:t>
      </w:r>
    </w:p>
    <w:p w14:paraId="7B9D0307">
      <w:pPr>
        <w:spacing w:line="360" w:lineRule="auto"/>
        <w:ind w:firstLine="480" w:firstLineChars="200"/>
        <w:rPr>
          <w:rFonts w:hint="eastAsia" w:ascii="宋体" w:hAnsi="宋体" w:cs="宋体"/>
          <w:u w:val="single"/>
          <w:lang w:val="en-US"/>
        </w:rPr>
      </w:pPr>
      <w:r>
        <w:rPr>
          <w:rFonts w:hint="eastAsia" w:ascii="宋体" w:hAnsi="宋体" w:cs="宋体"/>
          <w:u w:val="single"/>
        </w:rPr>
        <w:t xml:space="preserve">7） </w:t>
      </w:r>
      <w:r>
        <w:rPr>
          <w:rFonts w:hint="eastAsia" w:ascii="宋体" w:hAnsi="宋体" w:cs="宋体"/>
          <w:u w:val="single"/>
          <w:lang w:val="en-US"/>
        </w:rPr>
        <w:t>按照《财政部关于在政府采购活动中查询及使用信用记录有关问题的通知》（财库〔2016〕125号）的要求，根据</w:t>
      </w:r>
      <w:r>
        <w:rPr>
          <w:rFonts w:hint="eastAsia" w:ascii="宋体" w:hAnsi="宋体" w:cs="宋体"/>
          <w:u w:val="single"/>
        </w:rPr>
        <w:t>投标文件提交截止时间前“信用中国”网站（</w:t>
      </w:r>
      <w:r>
        <w:rPr>
          <w:rFonts w:hint="eastAsia" w:ascii="宋体" w:hAnsi="宋体" w:cs="宋体"/>
          <w:u w:val="single"/>
          <w:lang w:val="en-US"/>
        </w:rPr>
        <w:t>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r>
        <w:rPr>
          <w:rFonts w:hint="eastAsia" w:ascii="宋体" w:hAnsi="宋体" w:cs="宋体"/>
        </w:rPr>
        <w:t>。</w:t>
      </w:r>
    </w:p>
    <w:p w14:paraId="49CFA467">
      <w:pPr>
        <w:tabs>
          <w:tab w:val="left" w:pos="8280"/>
        </w:tabs>
        <w:snapToGrid w:val="0"/>
        <w:spacing w:line="360" w:lineRule="auto"/>
        <w:ind w:firstLine="480" w:firstLineChars="200"/>
        <w:rPr>
          <w:rFonts w:hint="eastAsia" w:ascii="宋体" w:hAnsi="宋体" w:cs="宋体"/>
          <w:u w:val="single"/>
        </w:rPr>
      </w:pPr>
      <w:r>
        <w:rPr>
          <w:rFonts w:hint="eastAsia" w:ascii="宋体" w:hAnsi="宋体" w:cs="宋体"/>
          <w:u w:val="single"/>
        </w:rPr>
        <w:t>信用信息的查询渠道及截止时点：自投标截止时间起1小时内在信用中国网（http://www.creditchina.gov.cn）和中国政府采购网（http://www.ccgp.gov.cn）上同时查询</w:t>
      </w:r>
      <w:r>
        <w:rPr>
          <w:rFonts w:hint="eastAsia" w:ascii="宋体" w:hAnsi="宋体" w:cs="宋体"/>
        </w:rPr>
        <w:t>。</w:t>
      </w:r>
    </w:p>
    <w:p w14:paraId="644709F7">
      <w:pPr>
        <w:snapToGrid w:val="0"/>
        <w:spacing w:line="360" w:lineRule="auto"/>
        <w:ind w:firstLine="480" w:firstLineChars="200"/>
        <w:rPr>
          <w:rFonts w:hint="eastAsia" w:ascii="宋体" w:hAnsi="宋体" w:cs="宋体"/>
          <w:u w:val="single"/>
          <w:lang w:val="en-US"/>
        </w:rPr>
      </w:pPr>
      <w:r>
        <w:rPr>
          <w:rFonts w:hint="eastAsia" w:ascii="宋体" w:hAnsi="宋体" w:cs="宋体"/>
          <w:u w:val="single"/>
          <w:lang w:val="en-US"/>
        </w:rPr>
        <w:t>信用信息查询记录和证据留存的具体方式：查询记录通过截屏的方式并打印留存，截屏内容包括网站地址、名称和查询信息的显示结果及查询时间等</w:t>
      </w:r>
      <w:r>
        <w:rPr>
          <w:rFonts w:hint="eastAsia" w:ascii="宋体" w:hAnsi="宋体" w:cs="宋体"/>
        </w:rPr>
        <w:t>。</w:t>
      </w:r>
    </w:p>
    <w:p w14:paraId="72981AC0">
      <w:pPr>
        <w:snapToGrid w:val="0"/>
        <w:spacing w:line="360" w:lineRule="auto"/>
        <w:ind w:firstLine="480" w:firstLineChars="200"/>
        <w:rPr>
          <w:rFonts w:hint="eastAsia" w:ascii="宋体" w:hAnsi="宋体" w:cs="宋体"/>
          <w:u w:val="single"/>
        </w:rPr>
      </w:pPr>
      <w:r>
        <w:rPr>
          <w:rFonts w:hint="eastAsia" w:ascii="宋体" w:hAnsi="宋体" w:cs="宋体"/>
          <w:u w:val="single"/>
        </w:rPr>
        <w:t>8） 供应商须由法定代表人或其授权的委托代理人参加。供应商若为法定代表人参加，须提供法定代表人资格证明书及身份证明原件或加盖公章的复印件（如身份证、护照、驾驶证等）；供应商若为被授权的委托代理人参加，须提供法定代表人资格证明书、法人代表授权书（须由法定代表人签字或盖章）和被授权人身份证明原件或加盖公章的复印件（如身份证、护照、驾驶证等）</w:t>
      </w:r>
      <w:r>
        <w:rPr>
          <w:rFonts w:hint="eastAsia" w:ascii="宋体" w:hAnsi="宋体" w:cs="宋体"/>
        </w:rPr>
        <w:t>。</w:t>
      </w:r>
    </w:p>
    <w:p w14:paraId="4F6C29E5">
      <w:pPr>
        <w:pStyle w:val="3"/>
        <w:spacing w:before="0" w:beforeLines="0" w:after="0" w:afterLines="0" w:line="360" w:lineRule="auto"/>
        <w:ind w:left="0" w:firstLine="480" w:firstLineChars="200"/>
        <w:rPr>
          <w:rFonts w:hint="eastAsia" w:cs="宋体"/>
          <w:u w:val="single"/>
        </w:rPr>
      </w:pPr>
      <w:r>
        <w:rPr>
          <w:rFonts w:hint="eastAsia" w:cs="宋体"/>
          <w:u w:val="single"/>
        </w:rPr>
        <w:t>9） 落实政府采购政策需满足的资格要求</w:t>
      </w:r>
      <w:r>
        <w:rPr>
          <w:rFonts w:hint="eastAsia" w:cs="宋体"/>
        </w:rPr>
        <w:t>：</w:t>
      </w:r>
    </w:p>
    <w:p w14:paraId="33C39425">
      <w:pPr>
        <w:snapToGrid w:val="0"/>
        <w:spacing w:line="360" w:lineRule="auto"/>
        <w:ind w:firstLine="480" w:firstLineChars="200"/>
        <w:rPr>
          <w:rFonts w:hint="eastAsia" w:ascii="宋体" w:hAnsi="宋体" w:cs="宋体"/>
          <w:u w:val="single"/>
        </w:rPr>
      </w:pPr>
      <w:r>
        <w:rPr>
          <w:rFonts w:hint="eastAsia" w:ascii="宋体" w:hAnsi="宋体" w:cs="宋体"/>
          <w:u w:val="single"/>
        </w:rPr>
        <w:t>A.促进中小企业发展政策</w:t>
      </w:r>
      <w:r>
        <w:rPr>
          <w:rFonts w:hint="eastAsia" w:ascii="宋体" w:hAnsi="宋体" w:cs="宋体"/>
        </w:rPr>
        <w:t>。</w:t>
      </w:r>
    </w:p>
    <w:p w14:paraId="5E81D66E">
      <w:pPr>
        <w:snapToGrid w:val="0"/>
        <w:spacing w:line="360" w:lineRule="auto"/>
        <w:ind w:firstLine="480" w:firstLineChars="200"/>
        <w:rPr>
          <w:rFonts w:hint="eastAsia" w:ascii="宋体" w:hAnsi="宋体" w:cs="宋体"/>
          <w:u w:val="single"/>
        </w:rPr>
      </w:pPr>
      <w:r>
        <w:rPr>
          <w:rFonts w:hint="eastAsia" w:ascii="宋体" w:hAnsi="宋体" w:cs="宋体"/>
          <w:u w:val="single"/>
        </w:rPr>
        <w:t>根据财政部、工业和信息化部发布的关于《政府采购促进中小企业发展管理办法》（财库﹝2020﹞46 号）和财政部关于《进一步加大政府采购支持中小企业力度》的通知（财库〔2022〕19号）规定，本项目专门面向中小微企业采购</w:t>
      </w:r>
      <w:r>
        <w:rPr>
          <w:rFonts w:hint="eastAsia" w:ascii="宋体" w:hAnsi="宋体" w:cs="宋体"/>
        </w:rPr>
        <w:t>。</w:t>
      </w:r>
    </w:p>
    <w:p w14:paraId="46EB1D67">
      <w:pPr>
        <w:snapToGrid w:val="0"/>
        <w:spacing w:line="360" w:lineRule="auto"/>
        <w:ind w:firstLine="480" w:firstLineChars="200"/>
        <w:rPr>
          <w:rFonts w:hint="eastAsia" w:ascii="宋体" w:hAnsi="宋体" w:cs="宋体"/>
          <w:u w:val="single"/>
        </w:rPr>
      </w:pPr>
      <w:r>
        <w:rPr>
          <w:rFonts w:hint="eastAsia" w:ascii="宋体" w:hAnsi="宋体" w:cs="宋体"/>
          <w:u w:val="single"/>
        </w:rPr>
        <w:t>B. 支持监狱企业发展政策</w:t>
      </w:r>
      <w:r>
        <w:rPr>
          <w:rFonts w:hint="eastAsia" w:ascii="宋体" w:hAnsi="宋体" w:cs="宋体"/>
        </w:rPr>
        <w:t>。</w:t>
      </w:r>
    </w:p>
    <w:p w14:paraId="1816AA29">
      <w:pPr>
        <w:snapToGrid w:val="0"/>
        <w:spacing w:line="360" w:lineRule="auto"/>
        <w:ind w:firstLine="480" w:firstLineChars="200"/>
        <w:rPr>
          <w:rFonts w:hint="eastAsia" w:ascii="宋体" w:hAnsi="宋体" w:cs="宋体"/>
          <w:u w:val="single"/>
        </w:rPr>
      </w:pPr>
      <w:r>
        <w:rPr>
          <w:rFonts w:hint="eastAsia" w:ascii="宋体" w:hAnsi="宋体" w:cs="宋体"/>
          <w:u w:val="single"/>
        </w:rPr>
        <w:t>支持监狱企业发展政策明细：根据财政部发布的《关于政府采购支持监狱企业发展有关问题的通知》（财库【2014】68号）规定，监狱企业视同小微企业</w:t>
      </w:r>
      <w:r>
        <w:rPr>
          <w:rFonts w:hint="eastAsia" w:ascii="宋体" w:hAnsi="宋体" w:cs="宋体"/>
        </w:rPr>
        <w:t>。</w:t>
      </w:r>
    </w:p>
    <w:p w14:paraId="632BF782">
      <w:pPr>
        <w:pStyle w:val="3"/>
        <w:spacing w:before="0" w:beforeLines="0" w:after="0" w:afterLines="0" w:line="360" w:lineRule="auto"/>
        <w:ind w:firstLine="240" w:firstLineChars="100"/>
        <w:rPr>
          <w:rFonts w:hint="eastAsia" w:cs="宋体"/>
          <w:u w:val="single"/>
        </w:rPr>
      </w:pPr>
      <w:r>
        <w:rPr>
          <w:rFonts w:hint="eastAsia" w:cs="宋体"/>
          <w:u w:val="single"/>
        </w:rPr>
        <w:t>C.促进残疾人就业政策</w:t>
      </w:r>
      <w:r>
        <w:rPr>
          <w:rFonts w:hint="eastAsia" w:cs="宋体"/>
        </w:rPr>
        <w:t>。</w:t>
      </w:r>
    </w:p>
    <w:p w14:paraId="12482D39">
      <w:pPr>
        <w:pStyle w:val="3"/>
        <w:spacing w:before="0" w:beforeLines="0" w:after="0" w:afterLines="0" w:line="360" w:lineRule="auto"/>
        <w:ind w:left="0" w:firstLine="480" w:firstLineChars="200"/>
        <w:rPr>
          <w:rFonts w:hint="eastAsia" w:cs="宋体"/>
          <w:u w:val="single"/>
        </w:rPr>
      </w:pPr>
      <w:r>
        <w:rPr>
          <w:rFonts w:hint="eastAsia" w:cs="宋体"/>
          <w:u w:val="single"/>
        </w:rPr>
        <w:t>促进残疾人就业政策明细：根据财政部、民政部、中国残疾人联合会发布的《关于促进残疾人就业政府采购政策的通知》（财库【2017】141号）规定，残疾人福利性单位视同小微企业</w:t>
      </w:r>
      <w:r>
        <w:rPr>
          <w:rFonts w:hint="eastAsia" w:cs="宋体"/>
        </w:rPr>
        <w:t>。</w:t>
      </w:r>
    </w:p>
    <w:p w14:paraId="1235E68F">
      <w:pPr>
        <w:snapToGrid w:val="0"/>
        <w:spacing w:line="360" w:lineRule="auto"/>
        <w:ind w:firstLine="480" w:firstLineChars="200"/>
        <w:rPr>
          <w:rFonts w:hint="eastAsia" w:ascii="宋体" w:hAnsi="宋体" w:cs="宋体"/>
          <w:u w:val="single"/>
          <w:lang w:val="en-US"/>
        </w:rPr>
      </w:pPr>
      <w:r>
        <w:rPr>
          <w:rFonts w:hint="eastAsia" w:ascii="宋体" w:hAnsi="宋体" w:cs="宋体"/>
          <w:u w:val="single"/>
          <w:lang w:val="en-US"/>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r>
        <w:rPr>
          <w:rFonts w:hint="eastAsia" w:ascii="宋体" w:hAnsi="宋体" w:cs="宋体"/>
          <w:u w:val="single"/>
        </w:rPr>
        <w:t xml:space="preserve"> </w:t>
      </w:r>
      <w:r>
        <w:rPr>
          <w:rFonts w:hint="eastAsia" w:ascii="宋体" w:hAnsi="宋体" w:cs="宋体"/>
        </w:rPr>
        <w:t>。</w:t>
      </w:r>
    </w:p>
    <w:p w14:paraId="2C83DB63">
      <w:pPr>
        <w:snapToGrid w:val="0"/>
        <w:spacing w:line="360" w:lineRule="auto"/>
        <w:ind w:firstLine="480" w:firstLineChars="200"/>
        <w:rPr>
          <w:rFonts w:hint="eastAsia" w:ascii="宋体" w:hAnsi="宋体" w:cs="宋体"/>
          <w:u w:val="single"/>
        </w:rPr>
      </w:pPr>
      <w:r>
        <w:rPr>
          <w:rFonts w:hint="eastAsia" w:ascii="宋体" w:hAnsi="宋体" w:cs="宋体"/>
          <w:u w:val="single"/>
        </w:rPr>
        <w:t>10） 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以最新名录公告为准）等文件要求，对政府采购节能、环境标志品目清单内的产品实施优先采购和强制采购的评审方法。</w:t>
      </w:r>
    </w:p>
    <w:p w14:paraId="2CBCCD8C">
      <w:pPr>
        <w:snapToGrid w:val="0"/>
        <w:spacing w:line="360" w:lineRule="auto"/>
        <w:ind w:firstLine="480" w:firstLineChars="200"/>
        <w:rPr>
          <w:rFonts w:hint="eastAsia" w:ascii="宋体" w:hAnsi="宋体" w:cs="宋体"/>
          <w:u w:val="single"/>
        </w:rPr>
      </w:pPr>
      <w:r>
        <w:rPr>
          <w:rFonts w:hint="eastAsia" w:ascii="宋体" w:hAnsi="宋体" w:cs="宋体"/>
          <w:u w:val="single"/>
        </w:rPr>
        <w:t>11） 涉及商品包装或快递包装的，按照《财政部办公厅、生态环境部办公厅、国家邮政局办公室关于印发&lt;商品包装政府采购需求标准（试行）&gt;、&lt;快递包装政府采购需求标准（试行）&gt;的通知》（财办库〔2020〕123号）要求执行。</w:t>
      </w:r>
    </w:p>
    <w:p w14:paraId="582BF1A2">
      <w:pPr>
        <w:pStyle w:val="2"/>
        <w:spacing w:line="360" w:lineRule="auto"/>
        <w:ind w:left="425" w:leftChars="177"/>
        <w:jc w:val="both"/>
        <w:rPr>
          <w:rFonts w:hint="eastAsia" w:ascii="宋体" w:hAnsi="宋体" w:cs="宋体"/>
          <w:iCs/>
          <w:color w:val="000000"/>
          <w:u w:val="single"/>
        </w:rPr>
      </w:pPr>
      <w:r>
        <w:rPr>
          <w:rFonts w:hint="eastAsia" w:ascii="宋体" w:hAnsi="宋体" w:cs="宋体"/>
          <w:iCs/>
          <w:color w:val="000000"/>
          <w:u w:val="single"/>
        </w:rPr>
        <w:t>(4) 报价及付款要求：</w:t>
      </w:r>
    </w:p>
    <w:p w14:paraId="1FFDCC7B">
      <w:pPr>
        <w:spacing w:line="360" w:lineRule="auto"/>
        <w:ind w:firstLine="480" w:firstLineChars="200"/>
        <w:rPr>
          <w:rFonts w:hint="eastAsia" w:ascii="宋体" w:hAnsi="宋体" w:cs="宋体"/>
          <w:u w:val="single"/>
        </w:rPr>
      </w:pPr>
      <w:r>
        <w:rPr>
          <w:rFonts w:hint="eastAsia" w:ascii="宋体" w:hAnsi="宋体" w:cs="宋体"/>
          <w:color w:val="000000"/>
          <w:u w:val="single"/>
        </w:rPr>
        <w:t>1)</w:t>
      </w:r>
      <w:r>
        <w:rPr>
          <w:rFonts w:hint="eastAsia" w:ascii="宋体" w:hAnsi="宋体" w:cs="宋体"/>
          <w:u w:val="single"/>
        </w:rPr>
        <w:t xml:space="preserve"> 医疗废物集中处置收费标准按照：《市发展改革委、市卫生健康委、市生态环境局关于完善我市医疗废物处置收费方式的通知》（津发改价综〔2018〕843号）执行。</w:t>
      </w:r>
    </w:p>
    <w:p w14:paraId="4B0596AA">
      <w:pPr>
        <w:spacing w:line="360" w:lineRule="auto"/>
        <w:ind w:firstLine="480" w:firstLineChars="200"/>
        <w:rPr>
          <w:rFonts w:hint="eastAsia" w:ascii="宋体" w:hAnsi="宋体" w:cs="宋体"/>
          <w:u w:val="single"/>
        </w:rPr>
      </w:pPr>
      <w:r>
        <w:rPr>
          <w:rFonts w:hint="eastAsia" w:ascii="宋体" w:hAnsi="宋体" w:cs="宋体"/>
          <w:color w:val="000000"/>
          <w:u w:val="single"/>
        </w:rPr>
        <w:t xml:space="preserve">2) </w:t>
      </w:r>
      <w:r>
        <w:rPr>
          <w:rFonts w:hint="eastAsia" w:ascii="宋体" w:hAnsi="宋体" w:cs="宋体"/>
          <w:u w:val="single"/>
        </w:rPr>
        <w:t>医院按季度向投标人结算费用。每季度按照实际发生量确定支付金额，投标人提供实际发生明细、发票后，经医院确认后，每季度首月15日前支付上一季度费用。</w:t>
      </w:r>
    </w:p>
    <w:p w14:paraId="0D2E431B">
      <w:pPr>
        <w:spacing w:line="360" w:lineRule="auto"/>
        <w:ind w:firstLine="480" w:firstLineChars="200"/>
        <w:rPr>
          <w:rFonts w:hint="eastAsia" w:ascii="宋体" w:hAnsi="宋体" w:cs="宋体"/>
          <w:iCs/>
          <w:color w:val="000000"/>
          <w:u w:val="single"/>
        </w:rPr>
      </w:pPr>
      <w:r>
        <w:rPr>
          <w:rFonts w:hint="eastAsia" w:ascii="宋体" w:hAnsi="宋体" w:cs="宋体"/>
          <w:color w:val="000000"/>
          <w:u w:val="single"/>
        </w:rPr>
        <w:t xml:space="preserve">3) </w:t>
      </w:r>
      <w:r>
        <w:rPr>
          <w:rFonts w:hint="eastAsia" w:ascii="宋体" w:hAnsi="宋体" w:cs="宋体"/>
          <w:iCs/>
          <w:color w:val="000000"/>
          <w:u w:val="single"/>
        </w:rPr>
        <w:t>其他要求</w:t>
      </w:r>
    </w:p>
    <w:p w14:paraId="40DC8362">
      <w:pPr>
        <w:widowControl/>
        <w:kinsoku w:val="0"/>
        <w:autoSpaceDE w:val="0"/>
        <w:autoSpaceDN w:val="0"/>
        <w:snapToGrid w:val="0"/>
        <w:spacing w:line="360" w:lineRule="auto"/>
        <w:ind w:firstLine="480" w:firstLineChars="200"/>
        <w:rPr>
          <w:rFonts w:hint="eastAsia" w:ascii="宋体" w:hAnsi="宋体" w:cs="宋体"/>
          <w:iCs/>
          <w:color w:val="000000"/>
          <w:u w:val="single"/>
          <w:shd w:val="clear" w:color="auto" w:fill="FFFFFF"/>
        </w:rPr>
      </w:pPr>
      <w:r>
        <w:rPr>
          <w:rFonts w:hint="eastAsia" w:ascii="宋体" w:hAnsi="宋体" w:cs="宋体"/>
          <w:iCs/>
          <w:color w:val="000000"/>
          <w:u w:val="single"/>
          <w:shd w:val="clear" w:color="auto" w:fill="FFFFFF"/>
        </w:rPr>
        <w:t>1年服务期满或本合同期限内结算金额达到中标限额，两者以先到为准，合同亦自动终止。</w:t>
      </w:r>
    </w:p>
    <w:p w14:paraId="287D60D8">
      <w:pPr>
        <w:widowControl/>
        <w:kinsoku w:val="0"/>
        <w:autoSpaceDE w:val="0"/>
        <w:autoSpaceDN w:val="0"/>
        <w:snapToGrid w:val="0"/>
        <w:spacing w:line="360" w:lineRule="auto"/>
        <w:ind w:firstLine="480" w:firstLineChars="200"/>
        <w:rPr>
          <w:rFonts w:hint="eastAsia" w:ascii="宋体" w:hAnsi="宋体" w:cs="宋体"/>
          <w:iCs/>
          <w:u w:val="single"/>
        </w:rPr>
      </w:pPr>
      <w:r>
        <w:rPr>
          <w:rFonts w:hint="eastAsia" w:ascii="宋体" w:hAnsi="宋体" w:cs="宋体"/>
          <w:iCs/>
          <w:color w:val="000000"/>
          <w:u w:val="single"/>
          <w:shd w:val="clear" w:color="auto" w:fill="FFFFFF"/>
        </w:rPr>
        <w:t>该需求为最终签订合同要约条款基础，如需求没有而最终签订合同一般条款有的且涉及采购性质的内容，以最终合同一般条款内容为准</w:t>
      </w:r>
      <w:r>
        <w:rPr>
          <w:rFonts w:hint="eastAsia" w:ascii="宋体" w:hAnsi="宋体" w:cs="宋体"/>
          <w:iCs/>
          <w:color w:val="000000"/>
          <w:shd w:val="clear" w:color="auto" w:fill="FFFFFF"/>
        </w:rPr>
        <w:t>。</w:t>
      </w:r>
    </w:p>
    <w:p w14:paraId="72BD4A54">
      <w:pPr>
        <w:pStyle w:val="3"/>
        <w:spacing w:before="163" w:after="163" w:line="360" w:lineRule="auto"/>
        <w:ind w:firstLine="480" w:firstLineChars="200"/>
        <w:rPr>
          <w:rFonts w:hint="eastAsia" w:cs="宋体"/>
          <w:szCs w:val="24"/>
        </w:rPr>
      </w:pPr>
    </w:p>
    <w:p w14:paraId="1653823C"/>
    <w:sectPr>
      <w:footerReference r:id="rId5" w:type="default"/>
      <w:pgSz w:w="11906" w:h="16838"/>
      <w:pgMar w:top="1440" w:right="1558" w:bottom="1440" w:left="156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F-簡秀宋體">
    <w:altName w:val="宋体"/>
    <w:panose1 w:val="00000000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0554">
    <w:pPr>
      <w:pStyle w:val="5"/>
      <w:jc w:val="center"/>
    </w:pPr>
    <w:r>
      <w:fldChar w:fldCharType="begin"/>
    </w:r>
    <w:r>
      <w:instrText xml:space="preserve">PAGE   \* MERGEFORMAT</w:instrText>
    </w:r>
    <w:r>
      <w:fldChar w:fldCharType="separate"/>
    </w:r>
    <w:r>
      <w:rPr>
        <w:lang w:val="zh-CN"/>
      </w:rPr>
      <w:t>58</w:t>
    </w:r>
    <w:r>
      <w:rPr>
        <w:lang w:val="zh-CN"/>
      </w:rPr>
      <w:fldChar w:fldCharType="end"/>
    </w:r>
  </w:p>
  <w:p w14:paraId="09563F5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32FCB"/>
    <w:rsid w:val="2C13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GB"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ind w:left="2520" w:leftChars="1200"/>
    </w:pPr>
  </w:style>
  <w:style w:type="paragraph" w:styleId="3">
    <w:name w:val="Body Text"/>
    <w:basedOn w:val="1"/>
    <w:next w:val="1"/>
    <w:uiPriority w:val="0"/>
    <w:pPr>
      <w:snapToGrid w:val="0"/>
      <w:spacing w:before="120" w:beforeLines="50" w:after="120" w:afterLines="50" w:line="240" w:lineRule="auto"/>
      <w:ind w:left="406"/>
      <w:jc w:val="both"/>
    </w:pPr>
    <w:rPr>
      <w:rFonts w:ascii="宋体" w:hAnsi="宋体" w:cs="Arial"/>
    </w:rPr>
  </w:style>
  <w:style w:type="paragraph" w:styleId="4">
    <w:name w:val="Body Text Indent"/>
    <w:basedOn w:val="1"/>
    <w:next w:val="3"/>
    <w:uiPriority w:val="0"/>
    <w:pPr>
      <w:ind w:left="480"/>
    </w:pPr>
    <w:rPr>
      <w:rFonts w:eastAsia="CF-簡秀宋體"/>
      <w:spacing w:val="20"/>
    </w:rPr>
  </w:style>
  <w:style w:type="paragraph" w:styleId="5">
    <w:name w:val="footer"/>
    <w:basedOn w:val="1"/>
    <w:uiPriority w:val="0"/>
    <w:pPr>
      <w:tabs>
        <w:tab w:val="center" w:pos="4153"/>
        <w:tab w:val="right" w:pos="8306"/>
      </w:tabs>
      <w:snapToGrid w:val="0"/>
    </w:pPr>
    <w:rPr>
      <w:sz w:val="20"/>
    </w:rPr>
  </w:style>
  <w:style w:type="paragraph" w:styleId="6">
    <w:name w:val="Body Text First Indent 2"/>
    <w:basedOn w:val="4"/>
    <w:next w:val="1"/>
    <w:unhideWhenUsed/>
    <w:qFormat/>
    <w:uiPriority w:val="99"/>
    <w:pPr>
      <w:tabs>
        <w:tab w:val="left" w:pos="480"/>
      </w:tabs>
      <w:ind w:firstLine="420" w:firstLineChars="200"/>
    </w:pPr>
    <w:rPr>
      <w:rFonts w:ascii="Calibri" w:hAnsi="Calibr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2024-12-16T03:09:00Z</dcterms:created>
  <dc:creator>麺梨小姐™</dc:creator>
  <cp:lastModifiedBy>麺梨小姐™</cp:lastModifiedBy>
  <dcterms:modified xsi:type="dcterms:W3CDTF">2024-12-16T03:10:34Z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C95BC5F7AE3841F6AEB0AC228DE80B5A_11</vt:lpwstr>
  </property>
</Properties>
</file>