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950A">
      <w:pPr>
        <w:bidi w:val="0"/>
        <w:jc w:val="center"/>
        <w:outlineLvl w:val="9"/>
        <w:rPr>
          <w:rFonts w:hint="eastAsia" w:ascii="宋体" w:hAnsi="宋体" w:eastAsia="宋体" w:cs="宋体"/>
          <w:b/>
          <w:bCs/>
          <w:color w:val="auto"/>
          <w:sz w:val="28"/>
          <w:szCs w:val="28"/>
          <w:highlight w:val="none"/>
          <w:lang w:val="en-US" w:eastAsia="zh-CN"/>
        </w:rPr>
      </w:pPr>
      <w:bookmarkStart w:id="0" w:name="_Toc31520"/>
      <w:r>
        <w:rPr>
          <w:rFonts w:hint="eastAsia" w:ascii="宋体" w:hAnsi="宋体" w:eastAsia="宋体" w:cs="宋体"/>
          <w:b/>
          <w:bCs/>
          <w:color w:val="auto"/>
          <w:sz w:val="28"/>
          <w:szCs w:val="28"/>
          <w:highlight w:val="none"/>
          <w:lang w:val="en-US" w:eastAsia="zh-CN"/>
        </w:rPr>
        <w:t>项目需求书</w:t>
      </w:r>
      <w:bookmarkEnd w:id="0"/>
    </w:p>
    <w:tbl>
      <w:tblPr>
        <w:tblStyle w:val="6"/>
        <w:tblW w:w="931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4577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noWrap w:val="0"/>
            <w:vAlign w:val="top"/>
          </w:tcPr>
          <w:p w14:paraId="144A41FE">
            <w:pPr>
              <w:rPr>
                <w:rFonts w:hint="eastAsia" w:ascii="宋体" w:hAnsi="宋体" w:eastAsia="宋体" w:cs="宋体"/>
                <w:color w:val="000000"/>
                <w:sz w:val="24"/>
                <w:szCs w:val="24"/>
              </w:rPr>
            </w:pPr>
            <w:r>
              <w:rPr>
                <w:rFonts w:hint="eastAsia" w:ascii="宋体" w:hAnsi="宋体" w:eastAsia="宋体" w:cs="宋体"/>
                <w:color w:val="000000"/>
                <w:sz w:val="24"/>
                <w:szCs w:val="24"/>
              </w:rPr>
              <w:t>拟购置医疗设备名称</w:t>
            </w:r>
          </w:p>
        </w:tc>
        <w:tc>
          <w:tcPr>
            <w:tcW w:w="6260" w:type="dxa"/>
            <w:gridSpan w:val="3"/>
            <w:noWrap w:val="0"/>
            <w:vAlign w:val="top"/>
          </w:tcPr>
          <w:p w14:paraId="35E54F27">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脑反射治疗仪</w:t>
            </w:r>
          </w:p>
        </w:tc>
      </w:tr>
      <w:tr w14:paraId="5EBC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noWrap w:val="0"/>
            <w:vAlign w:val="top"/>
          </w:tcPr>
          <w:p w14:paraId="785B704F">
            <w:pPr>
              <w:rPr>
                <w:rFonts w:hint="eastAsia" w:ascii="宋体" w:hAnsi="宋体" w:eastAsia="宋体" w:cs="宋体"/>
                <w:color w:val="000000"/>
                <w:sz w:val="24"/>
                <w:szCs w:val="24"/>
              </w:rPr>
            </w:pPr>
            <w:r>
              <w:rPr>
                <w:rFonts w:hint="eastAsia" w:ascii="宋体" w:hAnsi="宋体" w:eastAsia="宋体" w:cs="宋体"/>
                <w:color w:val="000000"/>
                <w:sz w:val="24"/>
                <w:szCs w:val="24"/>
              </w:rPr>
              <w:t>数量（台/套）</w:t>
            </w:r>
          </w:p>
        </w:tc>
        <w:tc>
          <w:tcPr>
            <w:tcW w:w="1560" w:type="dxa"/>
            <w:noWrap w:val="0"/>
            <w:vAlign w:val="top"/>
          </w:tcPr>
          <w:p w14:paraId="18C3B73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424" w:type="dxa"/>
            <w:noWrap w:val="0"/>
            <w:vAlign w:val="top"/>
          </w:tcPr>
          <w:p w14:paraId="08E72FE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c>
          <w:tcPr>
            <w:tcW w:w="2276" w:type="dxa"/>
            <w:noWrap w:val="0"/>
            <w:vAlign w:val="top"/>
          </w:tcPr>
          <w:p w14:paraId="64F70BAE">
            <w:pPr>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w:char="00FE"/>
            </w:r>
            <w:r>
              <w:rPr>
                <w:rFonts w:hint="eastAsia" w:ascii="宋体" w:hAnsi="宋体" w:eastAsia="宋体" w:cs="宋体"/>
                <w:color w:val="000000"/>
                <w:sz w:val="24"/>
                <w:szCs w:val="24"/>
              </w:rPr>
              <w:t xml:space="preserve">国产  </w:t>
            </w:r>
            <w:r>
              <w:rPr>
                <w:rFonts w:hint="eastAsia" w:ascii="宋体" w:hAnsi="宋体" w:eastAsia="宋体" w:cs="宋体"/>
                <w:color w:val="000000"/>
                <w:sz w:val="24"/>
                <w:szCs w:val="24"/>
              </w:rPr>
              <w:sym w:font="Wingdings" w:char="00A8"/>
            </w:r>
            <w:r>
              <w:rPr>
                <w:rFonts w:hint="eastAsia" w:ascii="宋体" w:hAnsi="宋体" w:eastAsia="宋体" w:cs="宋体"/>
                <w:color w:val="000000"/>
                <w:sz w:val="24"/>
                <w:szCs w:val="24"/>
              </w:rPr>
              <w:t xml:space="preserve">进口 </w:t>
            </w:r>
          </w:p>
        </w:tc>
      </w:tr>
      <w:tr w14:paraId="2949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noWrap w:val="0"/>
            <w:vAlign w:val="top"/>
          </w:tcPr>
          <w:p w14:paraId="757577C4">
            <w:pPr>
              <w:rPr>
                <w:rFonts w:hint="eastAsia" w:ascii="宋体" w:hAnsi="宋体" w:eastAsia="宋体" w:cs="宋体"/>
                <w:color w:val="000000"/>
                <w:sz w:val="24"/>
                <w:szCs w:val="24"/>
              </w:rPr>
            </w:pPr>
            <w:r>
              <w:rPr>
                <w:rFonts w:hint="eastAsia" w:ascii="宋体" w:hAnsi="宋体" w:eastAsia="宋体" w:cs="宋体"/>
                <w:color w:val="000000"/>
                <w:sz w:val="24"/>
                <w:szCs w:val="24"/>
              </w:rPr>
              <w:t>预算单价（万元）</w:t>
            </w:r>
          </w:p>
        </w:tc>
        <w:tc>
          <w:tcPr>
            <w:tcW w:w="1560" w:type="dxa"/>
            <w:noWrap w:val="0"/>
            <w:vAlign w:val="top"/>
          </w:tcPr>
          <w:p w14:paraId="4682EFF8">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2424" w:type="dxa"/>
            <w:noWrap w:val="0"/>
            <w:vAlign w:val="top"/>
          </w:tcPr>
          <w:p w14:paraId="1214E0A9">
            <w:pPr>
              <w:rPr>
                <w:rFonts w:hint="eastAsia" w:ascii="宋体" w:hAnsi="宋体" w:eastAsia="宋体" w:cs="宋体"/>
                <w:color w:val="000000"/>
                <w:sz w:val="24"/>
                <w:szCs w:val="24"/>
              </w:rPr>
            </w:pPr>
            <w:r>
              <w:rPr>
                <w:rFonts w:hint="eastAsia" w:ascii="宋体" w:hAnsi="宋体" w:eastAsia="宋体" w:cs="宋体"/>
                <w:color w:val="000000"/>
                <w:sz w:val="24"/>
                <w:szCs w:val="24"/>
              </w:rPr>
              <w:t>预算总价（万元）</w:t>
            </w:r>
          </w:p>
        </w:tc>
        <w:tc>
          <w:tcPr>
            <w:tcW w:w="2276" w:type="dxa"/>
            <w:noWrap w:val="0"/>
            <w:vAlign w:val="top"/>
          </w:tcPr>
          <w:p w14:paraId="1E360EA4">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48</w:t>
            </w:r>
          </w:p>
        </w:tc>
      </w:tr>
      <w:tr w14:paraId="1A5A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2" w:hRule="atLeast"/>
        </w:trPr>
        <w:tc>
          <w:tcPr>
            <w:tcW w:w="9318" w:type="dxa"/>
            <w:gridSpan w:val="4"/>
            <w:noWrap w:val="0"/>
            <w:vAlign w:val="top"/>
          </w:tcPr>
          <w:p w14:paraId="1DF5E2A5">
            <w:pPr>
              <w:pStyle w:val="5"/>
              <w:numPr>
                <w:ilvl w:val="0"/>
                <w:numId w:val="0"/>
              </w:numPr>
              <w:tabs>
                <w:tab w:val="left" w:pos="480"/>
              </w:tabs>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第一部分 </w:t>
            </w:r>
            <w:r>
              <w:rPr>
                <w:rFonts w:hint="eastAsia" w:ascii="宋体" w:hAnsi="宋体" w:eastAsia="宋体" w:cs="宋体"/>
                <w:color w:val="000000"/>
                <w:sz w:val="24"/>
                <w:szCs w:val="24"/>
              </w:rPr>
              <w:t>技术参数</w:t>
            </w:r>
          </w:p>
          <w:p w14:paraId="79A68683">
            <w:pPr>
              <w:numPr>
                <w:ilvl w:val="0"/>
                <w:numId w:val="0"/>
              </w:numPr>
              <w:snapToGrid w:val="0"/>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highlight w:val="none"/>
                <w:lang w:val="en-US" w:eastAsia="zh-CN"/>
              </w:rPr>
              <w:t>产品用途：适用于对脑卒中瘫痪后遗症、偏头痛、坐骨神经痛、脱髓鞘性疾病的辅助治疗</w:t>
            </w:r>
          </w:p>
          <w:p w14:paraId="0FDA061A">
            <w:pPr>
              <w:numPr>
                <w:ilvl w:val="0"/>
                <w:numId w:val="0"/>
              </w:numPr>
              <w:snapToGrid w:val="0"/>
              <w:spacing w:line="360" w:lineRule="auto"/>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highlight w:val="none"/>
              </w:rPr>
              <w:t>基本性能</w:t>
            </w:r>
          </w:p>
          <w:p w14:paraId="22589AF9">
            <w:pPr>
              <w:numPr>
                <w:ilvl w:val="0"/>
                <w:numId w:val="0"/>
              </w:numPr>
              <w:snapToGrid w:val="0"/>
              <w:spacing w:line="360" w:lineRule="auto"/>
              <w:ind w:left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 设备工作原理：仅以电刺激为核心工作原理</w:t>
            </w:r>
          </w:p>
          <w:p w14:paraId="162BD86C">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电源:AC22OV±10%</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50Hz±2%。</w:t>
            </w:r>
          </w:p>
          <w:p w14:paraId="25FD2561">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功耗:≤100W。</w:t>
            </w:r>
          </w:p>
          <w:p w14:paraId="07E60003">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最大能量输出:≤10mJ。</w:t>
            </w:r>
          </w:p>
          <w:p w14:paraId="3EF726BD">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输出调节范围:0</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150V。</w:t>
            </w:r>
          </w:p>
          <w:p w14:paraId="070AD96F">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输出调节方式:自动/手动方式。</w:t>
            </w:r>
          </w:p>
          <w:p w14:paraId="2D3740F8">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自动治疗程序:≥10种。</w:t>
            </w:r>
          </w:p>
          <w:p w14:paraId="68AA718A">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输出安全保护:增幅大于限定值时，报警并自动停止输出。</w:t>
            </w:r>
          </w:p>
          <w:p w14:paraId="045B55C6">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自检方式:开机自检。</w:t>
            </w:r>
          </w:p>
          <w:p w14:paraId="6A87A434">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2.10</w:t>
            </w:r>
            <w:r>
              <w:rPr>
                <w:rFonts w:hint="eastAsia" w:ascii="宋体" w:hAnsi="宋体" w:eastAsia="宋体" w:cs="宋体"/>
                <w:color w:val="000000"/>
                <w:sz w:val="24"/>
                <w:szCs w:val="24"/>
                <w:highlight w:val="none"/>
              </w:rPr>
              <w:t>液晶显示。</w:t>
            </w:r>
          </w:p>
          <w:p w14:paraId="21BCE165">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治疗探头:</w:t>
            </w:r>
            <w:r>
              <w:rPr>
                <w:rFonts w:hint="eastAsia" w:ascii="宋体" w:hAnsi="宋体" w:eastAsia="宋体" w:cs="宋体"/>
                <w:color w:val="000000"/>
                <w:sz w:val="24"/>
                <w:szCs w:val="24"/>
                <w:highlight w:val="none"/>
                <w:lang w:val="en-US" w:eastAsia="zh-CN"/>
              </w:rPr>
              <w:t>专用</w:t>
            </w:r>
            <w:r>
              <w:rPr>
                <w:rFonts w:hint="eastAsia" w:ascii="宋体" w:hAnsi="宋体" w:eastAsia="宋体" w:cs="宋体"/>
                <w:color w:val="000000"/>
                <w:sz w:val="24"/>
                <w:szCs w:val="24"/>
                <w:highlight w:val="none"/>
              </w:rPr>
              <w:t>四极</w:t>
            </w:r>
            <w:r>
              <w:rPr>
                <w:rFonts w:hint="eastAsia" w:ascii="宋体" w:hAnsi="宋体" w:eastAsia="宋体" w:cs="宋体"/>
                <w:color w:val="000000"/>
                <w:sz w:val="24"/>
                <w:szCs w:val="24"/>
                <w:highlight w:val="none"/>
                <w:lang w:val="en-US" w:eastAsia="zh-CN"/>
              </w:rPr>
              <w:t>头部</w:t>
            </w:r>
            <w:r>
              <w:rPr>
                <w:rFonts w:hint="eastAsia" w:ascii="宋体" w:hAnsi="宋体" w:eastAsia="宋体" w:cs="宋体"/>
                <w:color w:val="000000"/>
                <w:sz w:val="24"/>
                <w:szCs w:val="24"/>
                <w:highlight w:val="none"/>
              </w:rPr>
              <w:t>探头。</w:t>
            </w:r>
          </w:p>
          <w:p w14:paraId="042949BF">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2结构：台式</w:t>
            </w:r>
            <w:r>
              <w:rPr>
                <w:rFonts w:hint="eastAsia" w:ascii="宋体" w:hAnsi="宋体" w:eastAsia="宋体" w:cs="宋体"/>
                <w:color w:val="000000"/>
                <w:sz w:val="24"/>
                <w:szCs w:val="24"/>
                <w:highlight w:val="none"/>
              </w:rPr>
              <w:t>。</w:t>
            </w:r>
          </w:p>
          <w:p w14:paraId="4F01271F">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.电气性能</w:t>
            </w:r>
          </w:p>
          <w:p w14:paraId="301858DA">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.1输出脉冲频率:应在150Hz</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280Hz范围内。</w:t>
            </w:r>
          </w:p>
          <w:p w14:paraId="0BE6068A">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.2输出脉冲宽度:应在20μs</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100μs范围内。</w:t>
            </w:r>
          </w:p>
          <w:p w14:paraId="05803D09">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.3输出幅度最大时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作用于人体的每一个脉冲的电量应大于0.1μC。</w:t>
            </w:r>
          </w:p>
          <w:p w14:paraId="7516421B">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.4最大输出幅度有效值应≤10V。</w:t>
            </w:r>
          </w:p>
          <w:p w14:paraId="71919ABA">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.5电极的排列方式:多路电极应以矩形排列。且相邻电极间距离应≤10cm。</w:t>
            </w:r>
          </w:p>
          <w:p w14:paraId="5D7F9895">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.6电极的相互极性要求:对角位电极的输出极性应相同。</w:t>
            </w:r>
          </w:p>
          <w:p w14:paraId="4965A744">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.7电极的组间电压有效值应≤5V。</w:t>
            </w:r>
          </w:p>
          <w:p w14:paraId="01B02EF8">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.8各型号规格输出幅度调节范围的最大值与对应型号要求的最大输出幅度的偏差应≤±20V。</w:t>
            </w:r>
          </w:p>
          <w:p w14:paraId="07ADB762">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.9治疗时间:≥30min.且偏差应≤±10%。</w:t>
            </w:r>
          </w:p>
          <w:p w14:paraId="4F1CABF8">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.10电极导电部分尺寸规格(内径)要求:8mm±5%。</w:t>
            </w:r>
          </w:p>
          <w:p w14:paraId="633753DC">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.11电极的导电阻抗要求:440Ω±10%</w:t>
            </w:r>
          </w:p>
          <w:p w14:paraId="47E2A360">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.12电极与电极导线的连接采用弹性挤压结构，并采用专用接插件</w:t>
            </w:r>
          </w:p>
          <w:p w14:paraId="25333019">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13电极连接线的截面积≥0.05</w:t>
            </w:r>
            <w:r>
              <w:rPr>
                <w:rFonts w:hint="eastAsia" w:ascii="宋体" w:hAnsi="宋体" w:eastAsia="宋体" w:cs="宋体"/>
                <w:color w:val="000000"/>
                <w:sz w:val="24"/>
                <w:szCs w:val="24"/>
                <w:highlight w:val="none"/>
                <w:lang w:val="en-US" w:eastAsia="zh-CN"/>
              </w:rPr>
              <w:t>mm</w:t>
            </w:r>
            <w:r>
              <w:rPr>
                <w:rFonts w:hint="eastAsia" w:ascii="宋体" w:hAnsi="宋体" w:eastAsia="宋体" w:cs="宋体"/>
                <w:color w:val="000000"/>
                <w:sz w:val="24"/>
                <w:szCs w:val="24"/>
                <w:highlight w:val="none"/>
              </w:rPr>
              <w:t>²。</w:t>
            </w:r>
          </w:p>
          <w:p w14:paraId="643A77B5">
            <w:pPr>
              <w:snapToGrid w:val="0"/>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条款为实质性条款，负偏离将导致</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文件被拒绝。</w:t>
            </w:r>
          </w:p>
          <w:p w14:paraId="7A50184A">
            <w:pPr>
              <w:pStyle w:val="5"/>
              <w:tabs>
                <w:tab w:val="left" w:pos="480"/>
              </w:tabs>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第二部分商务要求（资质要求、交货时间、售后服务等）：</w:t>
            </w:r>
          </w:p>
          <w:p w14:paraId="41AC50C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一、供应商资质</w:t>
            </w:r>
          </w:p>
          <w:p w14:paraId="75585999">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参加本项目磋商的供应商应在响应文件中提供以下证明材料：</w:t>
            </w:r>
          </w:p>
          <w:p w14:paraId="6B784EF2">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474A7777">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（二）供应商须具备《中华人民共和国政府采购法》第二十二条第一款规定的条件，提供以下材料：</w:t>
            </w:r>
          </w:p>
          <w:p w14:paraId="10D0F6F0">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1、营业执照副本或事业单位法人证书或民办非企业单位登记证书或社会团体法人登记证书或基金会法人登记证书扫描件或复印件并加盖公章。</w:t>
            </w:r>
          </w:p>
          <w:p w14:paraId="4D0202D7">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2、财务状况报告等相关材料：提供202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年度经第三方会计师事务所审计的企业财务报告扫描件（应包括完整的审计报告和财务报表）或提交响应文件截止日期前近3个月内银行出具的资信证明复印件并加盖公章。</w:t>
            </w:r>
          </w:p>
          <w:p w14:paraId="158F4208">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年至少1个月的依法缴纳税收和社会保险费的相关证明材料扫描件或复印件并加盖公章。</w:t>
            </w:r>
          </w:p>
          <w:p w14:paraId="54CD4306">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4、提交响应文件截止日前3年在经营活动中没有重大违法记录的书面声明（提交响应文件截止日前成立不足3年的供应商可提供自成立以来无重大违法记录的书面声明）并加盖公章。</w:t>
            </w:r>
          </w:p>
          <w:p w14:paraId="5958CAE1">
            <w:pPr>
              <w:snapToGrid w:val="0"/>
              <w:spacing w:line="36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07F91040">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171BB83B">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（五）本项目不接受联合体参加磋商，供应商须提供《非联合体磋商声明函》并加盖公章。</w:t>
            </w:r>
          </w:p>
          <w:p w14:paraId="1E89E238">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交货要求</w:t>
            </w:r>
          </w:p>
          <w:p w14:paraId="76151B5D">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1.交货时间：合同签订之日起十个工作日内安装调试完毕（具体情况以合同为准）</w:t>
            </w:r>
          </w:p>
          <w:p w14:paraId="1BCF3D7E">
            <w:pPr>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2.交货地点：</w:t>
            </w:r>
            <w:r>
              <w:rPr>
                <w:rFonts w:hint="eastAsia" w:ascii="宋体" w:hAnsi="宋体" w:eastAsia="宋体" w:cs="宋体"/>
                <w:color w:val="000000"/>
                <w:sz w:val="24"/>
                <w:szCs w:val="24"/>
                <w:lang w:eastAsia="zh-CN"/>
              </w:rPr>
              <w:t>天津市滨海新区中医医院</w:t>
            </w:r>
          </w:p>
          <w:p w14:paraId="19112B50">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53CB9AF5">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4.交货的产品生产日期距离实际到货日期应≤6个月</w:t>
            </w:r>
          </w:p>
          <w:p w14:paraId="50D22F88">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三、服务要求</w:t>
            </w:r>
          </w:p>
          <w:p w14:paraId="0F36C18D">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1.保修期：在产品说明书或标签中标明的使用期限内</w:t>
            </w:r>
            <w:r>
              <w:rPr>
                <w:rFonts w:hint="eastAsia" w:ascii="宋体" w:hAnsi="宋体" w:eastAsia="宋体" w:cs="宋体"/>
                <w:color w:val="000000"/>
                <w:sz w:val="24"/>
                <w:szCs w:val="24"/>
                <w:lang w:eastAsia="zh-CN"/>
              </w:rPr>
              <w:t>免费保修</w:t>
            </w:r>
            <w:r>
              <w:rPr>
                <w:rFonts w:hint="eastAsia" w:ascii="宋体" w:hAnsi="宋体" w:eastAsia="宋体" w:cs="宋体"/>
                <w:color w:val="000000"/>
                <w:sz w:val="24"/>
                <w:szCs w:val="24"/>
              </w:rPr>
              <w:t>(自货物经采购方验收合格之日起计算保修期),保修期内出现质量问题由供应商免费上门保修，且免费更换全部零配件，并承担修理、调换或退货以及由此给采购方造成损失的实际费用。</w:t>
            </w:r>
          </w:p>
          <w:p w14:paraId="56C0A9D4">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2.依据产品说明书，保修期内供应商对所供货物提供免费维护与保养。</w:t>
            </w:r>
          </w:p>
          <w:p w14:paraId="73A42F3E">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3.货物在保修期内更换整机的，从双方确认更换完成日期开始，保修期重新计算。</w:t>
            </w:r>
          </w:p>
          <w:p w14:paraId="72DC1FC3">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4.在产品说明书或标签中标明的使用期限内，供应商免费对货物的软件进行更新、维护、升级。</w:t>
            </w:r>
          </w:p>
          <w:p w14:paraId="5D1EF927">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21CBEF3B">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6.在产品说明书或标签中标明的产品使用期限内，货物因制造粗糙、设计缺陷或原材料缺陷但在上述保修期届满之前的合理检测中未能发现的潜在缺陷，供应商负责免费更换、修复。</w:t>
            </w:r>
          </w:p>
          <w:p w14:paraId="473A160B">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1627CD21">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8.供应商所提供的货物必须具有合法手续及相关文件。如涉及知识产权，则必须是自己拥有或合法使用，不得侵害任何第三方的合法权益。</w:t>
            </w:r>
          </w:p>
          <w:p w14:paraId="5D66BC79">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9.供应商应随货物向采购方交付货物的使用说明书及货物相关的资料。如果所提交文件是外文的，供应商有义务为采购方提供中文或译成中文文件。</w:t>
            </w:r>
          </w:p>
          <w:p w14:paraId="2505AA55">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65E09A92">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11.未经采购人同意，成交供应商不得转让合同、转包或分包。</w:t>
            </w:r>
          </w:p>
          <w:p w14:paraId="5F9200CC">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0243656D">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13.供应商须整包进行磋商，不得拆包分项响应。 </w:t>
            </w:r>
          </w:p>
          <w:p w14:paraId="4C161D50">
            <w:pPr>
              <w:pStyle w:val="4"/>
              <w:widowControl/>
              <w:shd w:val="clear" w:color="auto" w:fill="FFFFFF"/>
              <w:adjustRightInd w:val="0"/>
              <w:snapToGrid w:val="0"/>
              <w:spacing w:before="0" w:beforeAutospacing="0" w:after="0" w:afterAutospacing="0" w:line="500" w:lineRule="exact"/>
              <w:ind w:firstLine="480" w:firstLineChars="200"/>
              <w:rPr>
                <w:rFonts w:hint="eastAsia" w:ascii="宋体" w:hAnsi="宋体" w:eastAsia="宋体" w:cs="宋体"/>
                <w:color w:val="000000"/>
                <w:spacing w:val="8"/>
                <w:sz w:val="24"/>
                <w:szCs w:val="24"/>
                <w:shd w:val="clear" w:color="auto" w:fill="FFFFFF"/>
              </w:rPr>
            </w:pPr>
            <w:r>
              <w:rPr>
                <w:rFonts w:hint="eastAsia" w:ascii="宋体" w:hAnsi="宋体" w:eastAsia="宋体" w:cs="宋体"/>
                <w:color w:val="000000"/>
                <w:sz w:val="24"/>
                <w:szCs w:val="24"/>
              </w:rPr>
              <w:t>14.</w:t>
            </w:r>
            <w:r>
              <w:rPr>
                <w:rFonts w:hint="eastAsia" w:ascii="宋体" w:hAnsi="宋体" w:eastAsia="宋体" w:cs="宋体"/>
                <w:color w:val="000000"/>
                <w:spacing w:val="8"/>
                <w:sz w:val="24"/>
                <w:szCs w:val="24"/>
                <w:shd w:val="clear" w:color="auto" w:fill="FFFFFF"/>
              </w:rPr>
              <w:t>供应商如为代理商须提供所投产品生产厂家或代理机构出具的产品授权书复印件（如为代理机构授权，供应商还须同时提供代理机构与生产厂家之间的销售授权证明），将授权书复印件并加盖供应商公章。</w:t>
            </w:r>
          </w:p>
          <w:p w14:paraId="450454C7">
            <w:pPr>
              <w:pStyle w:val="4"/>
              <w:widowControl/>
              <w:shd w:val="clear" w:color="auto" w:fill="FFFFFF"/>
              <w:adjustRightInd w:val="0"/>
              <w:snapToGrid w:val="0"/>
              <w:spacing w:before="0" w:beforeAutospacing="0" w:after="0" w:afterAutospacing="0" w:line="500" w:lineRule="exact"/>
              <w:ind w:firstLine="512" w:firstLineChars="200"/>
              <w:rPr>
                <w:rFonts w:hint="eastAsia" w:ascii="宋体" w:hAnsi="宋体" w:eastAsia="宋体" w:cs="宋体"/>
                <w:color w:val="000000"/>
                <w:spacing w:val="8"/>
                <w:sz w:val="24"/>
                <w:szCs w:val="24"/>
                <w:shd w:val="clear" w:color="auto" w:fill="FFFFFF"/>
              </w:rPr>
            </w:pPr>
            <w:r>
              <w:rPr>
                <w:rFonts w:hint="eastAsia" w:ascii="宋体" w:hAnsi="宋体" w:eastAsia="宋体" w:cs="宋体"/>
                <w:color w:val="000000"/>
                <w:spacing w:val="8"/>
                <w:sz w:val="24"/>
                <w:szCs w:val="24"/>
                <w:shd w:val="clear" w:color="auto" w:fill="FFFFFF"/>
              </w:rPr>
              <w:t>★15.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本条款为★条款，不符合将导致</w:t>
            </w:r>
            <w:r>
              <w:rPr>
                <w:rFonts w:hint="eastAsia" w:ascii="宋体" w:hAnsi="宋体" w:eastAsia="宋体" w:cs="宋体"/>
                <w:color w:val="000000"/>
                <w:spacing w:val="8"/>
                <w:sz w:val="24"/>
                <w:szCs w:val="24"/>
                <w:shd w:val="clear" w:color="auto" w:fill="FFFFFF"/>
                <w:lang w:val="en-US" w:eastAsia="zh-CN"/>
              </w:rPr>
              <w:t>响应</w:t>
            </w:r>
            <w:r>
              <w:rPr>
                <w:rFonts w:hint="eastAsia" w:ascii="宋体" w:hAnsi="宋体" w:eastAsia="宋体" w:cs="宋体"/>
                <w:color w:val="000000"/>
                <w:spacing w:val="8"/>
                <w:sz w:val="24"/>
                <w:szCs w:val="24"/>
                <w:shd w:val="clear" w:color="auto" w:fill="FFFFFF"/>
              </w:rPr>
              <w:t>文件被拒绝）</w:t>
            </w:r>
          </w:p>
          <w:p w14:paraId="0708E322">
            <w:pPr>
              <w:snapToGrid w:val="0"/>
              <w:spacing w:line="360" w:lineRule="auto"/>
              <w:rPr>
                <w:rFonts w:hint="eastAsia" w:ascii="宋体" w:hAnsi="宋体" w:eastAsia="宋体" w:cs="宋体"/>
                <w:color w:val="000000"/>
                <w:sz w:val="24"/>
                <w:szCs w:val="24"/>
              </w:rPr>
            </w:pPr>
          </w:p>
          <w:p w14:paraId="5FCDC4B4">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第三部分：付款方式</w:t>
            </w:r>
          </w:p>
          <w:p w14:paraId="3A18D6B0">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在合同签订三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6DF54358">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2.货物送到指定地点、完成安装调试、经院方验收合格，院方已收到足额履约保证金，且院方收到中标供应商提供的等额合规发票后全额付款。</w:t>
            </w:r>
          </w:p>
          <w:p w14:paraId="7BA31250">
            <w:pPr>
              <w:snapToGrid w:val="0"/>
              <w:spacing w:line="360" w:lineRule="auto"/>
              <w:ind w:firstLine="480" w:firstLineChars="200"/>
              <w:rPr>
                <w:rFonts w:hint="eastAsia" w:ascii="宋体" w:hAnsi="宋体" w:eastAsia="宋体" w:cs="宋体"/>
                <w:color w:val="000000"/>
                <w:sz w:val="24"/>
                <w:szCs w:val="24"/>
              </w:rPr>
            </w:pPr>
          </w:p>
          <w:p w14:paraId="6C170D2F">
            <w:pPr>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是否有配套耗材：   </w:t>
            </w:r>
            <w:r>
              <w:rPr>
                <w:rFonts w:hint="eastAsia" w:ascii="宋体" w:hAnsi="宋体" w:eastAsia="宋体" w:cs="宋体"/>
                <w:color w:val="000000"/>
                <w:sz w:val="24"/>
                <w:szCs w:val="24"/>
              </w:rPr>
              <w:sym w:font="Wingdings" w:char="00FE"/>
            </w:r>
            <w:r>
              <w:rPr>
                <w:rFonts w:hint="eastAsia" w:ascii="宋体" w:hAnsi="宋体" w:eastAsia="宋体" w:cs="宋体"/>
                <w:color w:val="000000"/>
                <w:sz w:val="24"/>
                <w:szCs w:val="24"/>
              </w:rPr>
              <w:t xml:space="preserve">有 </w:t>
            </w:r>
            <w:r>
              <w:rPr>
                <w:rFonts w:hint="eastAsia" w:ascii="宋体" w:hAnsi="宋体" w:eastAsia="宋体" w:cs="宋体"/>
                <w:color w:val="000000"/>
                <w:sz w:val="24"/>
                <w:szCs w:val="24"/>
              </w:rPr>
              <w:sym w:font="Wingdings" w:char="00A8"/>
            </w:r>
            <w:r>
              <w:rPr>
                <w:rFonts w:hint="eastAsia" w:ascii="宋体" w:hAnsi="宋体" w:eastAsia="宋体" w:cs="宋体"/>
                <w:color w:val="000000"/>
                <w:sz w:val="24"/>
                <w:szCs w:val="24"/>
              </w:rPr>
              <w:t>无</w:t>
            </w:r>
            <w:r>
              <w:rPr>
                <w:rFonts w:hint="eastAsia" w:ascii="宋体" w:hAnsi="宋体" w:eastAsia="宋体" w:cs="宋体"/>
                <w:color w:val="000000"/>
                <w:sz w:val="24"/>
                <w:szCs w:val="24"/>
                <w:lang w:eastAsia="zh-CN"/>
              </w:rPr>
              <w:t>：脑反射治疗仪体表电极</w:t>
            </w:r>
          </w:p>
          <w:p w14:paraId="439F2692">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其他要求：</w:t>
            </w:r>
            <w:r>
              <w:rPr>
                <w:rFonts w:hint="eastAsia" w:ascii="宋体" w:hAnsi="宋体" w:eastAsia="宋体" w:cs="宋体"/>
                <w:color w:val="000000"/>
                <w:sz w:val="24"/>
                <w:szCs w:val="24"/>
                <w:lang w:eastAsia="zh-CN"/>
              </w:rPr>
              <w:t>机器出现故障时要提供备用机，每台设备提供配套使用电极</w:t>
            </w:r>
            <w:r>
              <w:rPr>
                <w:rFonts w:hint="eastAsia" w:ascii="宋体" w:hAnsi="宋体" w:eastAsia="宋体" w:cs="宋体"/>
                <w:color w:val="000000"/>
                <w:sz w:val="24"/>
                <w:szCs w:val="24"/>
                <w:lang w:val="en-US" w:eastAsia="zh-CN"/>
              </w:rPr>
              <w:t>10套以上</w:t>
            </w:r>
          </w:p>
          <w:p w14:paraId="7B15B5D3">
            <w:pPr>
              <w:rPr>
                <w:rFonts w:hint="eastAsia" w:ascii="宋体" w:hAnsi="宋体" w:eastAsia="宋体" w:cs="宋体"/>
                <w:color w:val="000000"/>
                <w:sz w:val="24"/>
                <w:szCs w:val="24"/>
              </w:rPr>
            </w:pPr>
          </w:p>
        </w:tc>
      </w:tr>
    </w:tbl>
    <w:p w14:paraId="3C5EFF6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1113E"/>
    <w:rsid w:val="1C611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kern w:val="0"/>
      <w:sz w:val="20"/>
      <w:szCs w:val="24"/>
    </w:rPr>
  </w:style>
  <w:style w:type="paragraph" w:styleId="3">
    <w:name w:val="Body Text Indent"/>
    <w:basedOn w:val="1"/>
    <w:next w:val="2"/>
    <w:qFormat/>
    <w:uiPriority w:val="0"/>
    <w:pPr>
      <w:spacing w:line="400" w:lineRule="exact"/>
      <w:ind w:firstLine="560" w:firstLineChars="200"/>
    </w:pPr>
    <w:rPr>
      <w:rFonts w:ascii="Calibri" w:hAnsi="Calibri"/>
      <w:kern w:val="0"/>
      <w:sz w:val="28"/>
      <w:szCs w:val="2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3"/>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2025-08-28T02:01:00Z</dcterms:created>
  <dc:creator>柳絮飞</dc:creator>
  <cp:lastModifiedBy>柳絮飞</cp:lastModifiedBy>
  <dcterms:modified xsi:type="dcterms:W3CDTF">2025-08-28T02:06:50Z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3378D40F540F49EE9714789EC878A594_11</vt:lpwstr>
  </property>
  <property fmtid="{D5CDD505-2E9C-101B-9397-08002B2CF9AE}" pid="4" name="KSOTemplateDocerSaveRecord">
    <vt:lpwstr>eyJoZGlkIjoiOWE1NmUwMmVjNjU2YzcwMDFmMzY3NzA5Mjc3MGE3YTQiLCJ1c2VySWQiOiIzMTIwNTAyMzUifQ==</vt:lpwstr>
  </property>
</Properties>
</file>