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C9DCE">
      <w:pPr>
        <w:widowControl w:val="0"/>
        <w:spacing w:line="380" w:lineRule="exact"/>
        <w:ind w:right="85"/>
        <w:jc w:val="center"/>
        <w:rPr>
          <w:rFonts w:asciiTheme="minorEastAsia" w:hAnsiTheme="minorEastAsia" w:eastAsiaTheme="minorEastAsia"/>
          <w:b/>
          <w:lang w:eastAsia="zh-CN" w:bidi="ar"/>
        </w:rPr>
      </w:pPr>
      <w:r>
        <w:rPr>
          <w:rFonts w:hint="eastAsia" w:cs="宋体" w:asciiTheme="minorEastAsia" w:hAnsiTheme="minorEastAsia" w:eastAsiaTheme="minorEastAsia"/>
          <w:b/>
          <w:bCs/>
          <w:color w:val="auto"/>
          <w:spacing w:val="8"/>
          <w:kern w:val="0"/>
          <w:shd w:val="clear" w:color="auto" w:fill="FFFFFF"/>
          <w:lang w:eastAsia="zh-CN" w:bidi="ar"/>
        </w:rPr>
        <w:t>无创呼吸机购置项目</w:t>
      </w:r>
      <w:bookmarkStart w:id="1" w:name="_GoBack"/>
      <w:bookmarkEnd w:id="1"/>
      <w:r>
        <w:rPr>
          <w:rFonts w:asciiTheme="minorEastAsia" w:hAnsiTheme="minorEastAsia" w:eastAsiaTheme="minorEastAsia"/>
          <w:b/>
          <w:lang w:eastAsia="zh-CN" w:bidi="ar"/>
        </w:rPr>
        <w:t>需求书</w:t>
      </w:r>
    </w:p>
    <w:p w14:paraId="4E67C260">
      <w:pPr>
        <w:pStyle w:val="8"/>
        <w:numPr>
          <w:ilvl w:val="0"/>
          <w:numId w:val="1"/>
        </w:numPr>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项目名称</w:t>
      </w:r>
    </w:p>
    <w:p w14:paraId="44CDB9BA">
      <w:pPr>
        <w:pStyle w:val="8"/>
        <w:ind w:left="408" w:firstLine="0"/>
        <w:jc w:val="left"/>
        <w:rPr>
          <w:rFonts w:hint="eastAsia" w:cs="宋体" w:asciiTheme="minorEastAsia" w:hAnsiTheme="minorEastAsia" w:eastAsiaTheme="minorEastAsia"/>
          <w:color w:val="auto"/>
          <w:spacing w:val="8"/>
          <w:kern w:val="0"/>
          <w:shd w:val="clear" w:color="auto" w:fill="FFFFFF"/>
          <w:lang w:eastAsia="zh-CN" w:bidi="ar"/>
        </w:rPr>
      </w:pPr>
      <w:r>
        <w:rPr>
          <w:rFonts w:hint="eastAsia" w:cs="宋体" w:asciiTheme="minorEastAsia" w:hAnsiTheme="minorEastAsia" w:eastAsiaTheme="minorEastAsia"/>
          <w:color w:val="auto"/>
          <w:spacing w:val="8"/>
          <w:kern w:val="0"/>
          <w:shd w:val="clear" w:color="auto" w:fill="FFFFFF"/>
          <w:lang w:bidi="ar"/>
        </w:rPr>
        <w:t>天津市滨海新区中医医院</w:t>
      </w:r>
      <w:r>
        <w:rPr>
          <w:rFonts w:hint="eastAsia" w:cs="宋体" w:asciiTheme="minorEastAsia" w:hAnsiTheme="minorEastAsia" w:eastAsiaTheme="minorEastAsia"/>
          <w:color w:val="auto"/>
          <w:spacing w:val="8"/>
          <w:kern w:val="0"/>
          <w:shd w:val="clear" w:color="auto" w:fill="FFFFFF"/>
          <w:lang w:eastAsia="zh-CN" w:bidi="ar"/>
        </w:rPr>
        <w:t>无创呼吸机购置项目</w:t>
      </w:r>
    </w:p>
    <w:p w14:paraId="44B5723A">
      <w:pPr>
        <w:pStyle w:val="8"/>
        <w:numPr>
          <w:ilvl w:val="0"/>
          <w:numId w:val="1"/>
        </w:numPr>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项目预算</w:t>
      </w:r>
    </w:p>
    <w:p w14:paraId="12937D81">
      <w:pPr>
        <w:pStyle w:val="8"/>
        <w:ind w:left="408" w:firstLine="0"/>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本项目预算10万元</w:t>
      </w:r>
    </w:p>
    <w:p w14:paraId="4C556638">
      <w:pPr>
        <w:pStyle w:val="8"/>
        <w:numPr>
          <w:ilvl w:val="0"/>
          <w:numId w:val="1"/>
        </w:numPr>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设备类别</w:t>
      </w:r>
    </w:p>
    <w:p w14:paraId="20D403B3">
      <w:pPr>
        <w:pStyle w:val="8"/>
        <w:ind w:left="408" w:firstLine="0"/>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治疗设备类</w:t>
      </w:r>
    </w:p>
    <w:p w14:paraId="2BC0F780">
      <w:pPr>
        <w:pStyle w:val="8"/>
        <w:numPr>
          <w:ilvl w:val="0"/>
          <w:numId w:val="1"/>
        </w:numPr>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产地</w:t>
      </w:r>
    </w:p>
    <w:p w14:paraId="428B4207">
      <w:pPr>
        <w:pStyle w:val="8"/>
        <w:ind w:left="408" w:firstLine="0"/>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国产</w:t>
      </w:r>
    </w:p>
    <w:p w14:paraId="7CC95421">
      <w:pPr>
        <w:pStyle w:val="8"/>
        <w:numPr>
          <w:ilvl w:val="0"/>
          <w:numId w:val="1"/>
        </w:numPr>
        <w:jc w:val="left"/>
        <w:rPr>
          <w:rFonts w:cs="宋体" w:asciiTheme="minorEastAsia" w:hAnsiTheme="minorEastAsia" w:eastAsiaTheme="minorEastAsia"/>
          <w:color w:val="auto"/>
          <w:spacing w:val="8"/>
          <w:kern w:val="0"/>
          <w:shd w:val="clear" w:color="auto" w:fill="FFFFFF"/>
          <w:lang w:bidi="ar"/>
        </w:rPr>
      </w:pPr>
      <w:r>
        <w:rPr>
          <w:rFonts w:hint="eastAsia" w:cs="宋体" w:asciiTheme="minorEastAsia" w:hAnsiTheme="minorEastAsia" w:eastAsiaTheme="minorEastAsia"/>
          <w:color w:val="auto"/>
          <w:spacing w:val="8"/>
          <w:kern w:val="0"/>
          <w:shd w:val="clear" w:color="auto" w:fill="FFFFFF"/>
          <w:lang w:bidi="ar"/>
        </w:rPr>
        <w:t>技术参数</w:t>
      </w:r>
    </w:p>
    <w:p w14:paraId="33480685">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★1.适用于对成人和小儿患者进行通气辅助及生命支持，满足危重症患者的无创通气需求及转运要求</w:t>
      </w:r>
    </w:p>
    <w:p w14:paraId="0C945C67">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2.采用≥15英寸彩色全触屏显示器，分辨率≥1920×1080</w:t>
      </w:r>
    </w:p>
    <w:p w14:paraId="7DD86190">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3.呼吸机屏幕可多角度调节，可同屏显示≥三道波形及监测参数</w:t>
      </w:r>
    </w:p>
    <w:p w14:paraId="39EC665C">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4.电动电控呼吸机，采用涡轮供气方式，单支回路设计，最大峰流速≥200L/min</w:t>
      </w:r>
    </w:p>
    <w:p w14:paraId="1AB66529">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5.内置锂电池，电池工作持续时间≥2小时</w:t>
      </w:r>
    </w:p>
    <w:p w14:paraId="107A5858">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6.具备自动漏气补偿功能，最大漏气补偿≥130L/min</w:t>
      </w:r>
    </w:p>
    <w:p w14:paraId="7BD23C5A">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7.中文操作界面，中文报警、操作提示信息，具备锁屏功能。</w:t>
      </w:r>
    </w:p>
    <w:p w14:paraId="7AB31A8D">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8.持续气道正压通气模式、自主/时间控通气模式、压力控制通气模式、容量支持通气模式、比例压力通气模式</w:t>
      </w:r>
    </w:p>
    <w:p w14:paraId="6DBE6B2D">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★9.具有高流量氧疗模式：流速和氧浓度可设，氧疗最大流速≥60L/min</w:t>
      </w:r>
    </w:p>
    <w:p w14:paraId="0CE4760A">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10.具备窒息通气功能</w:t>
      </w:r>
    </w:p>
    <w:p w14:paraId="07D44587">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11.具有呼气压力释放功能，且压力释放多档可调</w:t>
      </w:r>
    </w:p>
    <w:p w14:paraId="0C5D790D">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12.具备波形冻结、屏幕截图、手动通气等辅助功能</w:t>
      </w:r>
    </w:p>
    <w:p w14:paraId="47DF00FB">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13.具备增氧功能</w:t>
      </w:r>
    </w:p>
    <w:p w14:paraId="28C15B0E">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参数设置</w:t>
      </w:r>
    </w:p>
    <w:p w14:paraId="47F12140">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14.潮气量：20-2000ml</w:t>
      </w:r>
    </w:p>
    <w:p w14:paraId="1C204E31">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15.呼吸频率：4-60bpm</w:t>
      </w:r>
    </w:p>
    <w:p w14:paraId="7A8B9898">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16.吸气时间：0.3-3s</w:t>
      </w:r>
    </w:p>
    <w:p w14:paraId="19E13B57">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17.压力上升时间：1-5档可调</w:t>
      </w:r>
    </w:p>
    <w:p w14:paraId="0D7F1A45">
      <w:pPr>
        <w:rPr>
          <w:rFonts w:cs="仿宋" w:asciiTheme="minorEastAsia" w:hAnsiTheme="minorEastAsia" w:eastAsiaTheme="minorEastAsia"/>
          <w:szCs w:val="24"/>
        </w:rPr>
      </w:pPr>
      <w:r>
        <w:rPr>
          <w:rFonts w:hint="eastAsia" w:cs="仿宋" w:asciiTheme="minorEastAsia" w:hAnsiTheme="minorEastAsia" w:eastAsiaTheme="minorEastAsia"/>
          <w:szCs w:val="24"/>
          <w:lang w:eastAsia="zh-CN"/>
        </w:rPr>
        <w:t>18</w:t>
      </w:r>
      <w:r>
        <w:rPr>
          <w:rFonts w:hint="eastAsia" w:cs="仿宋" w:asciiTheme="minorEastAsia" w:hAnsiTheme="minorEastAsia" w:eastAsiaTheme="minorEastAsia"/>
          <w:szCs w:val="24"/>
        </w:rPr>
        <w:t>.吸气压力（IPAP）：4-</w:t>
      </w:r>
      <w:r>
        <w:rPr>
          <w:rFonts w:hint="eastAsia" w:cs="仿宋" w:asciiTheme="minorEastAsia" w:hAnsiTheme="minorEastAsia" w:eastAsiaTheme="minorEastAsia"/>
          <w:szCs w:val="24"/>
          <w:lang w:eastAsia="zh-CN"/>
        </w:rPr>
        <w:t>40</w:t>
      </w:r>
      <w:r>
        <w:rPr>
          <w:rFonts w:hint="eastAsia" w:cs="仿宋" w:asciiTheme="minorEastAsia" w:hAnsiTheme="minorEastAsia" w:eastAsiaTheme="minorEastAsia"/>
          <w:szCs w:val="24"/>
        </w:rPr>
        <w:t>cmH2O</w:t>
      </w:r>
    </w:p>
    <w:p w14:paraId="4E8CC3E4">
      <w:pPr>
        <w:rPr>
          <w:rFonts w:cs="仿宋" w:asciiTheme="minorEastAsia" w:hAnsiTheme="minorEastAsia" w:eastAsiaTheme="minorEastAsia"/>
          <w:szCs w:val="24"/>
        </w:rPr>
      </w:pPr>
      <w:r>
        <w:rPr>
          <w:rFonts w:hint="eastAsia" w:cs="仿宋" w:asciiTheme="minorEastAsia" w:hAnsiTheme="minorEastAsia" w:eastAsiaTheme="minorEastAsia"/>
          <w:szCs w:val="24"/>
          <w:lang w:eastAsia="zh-CN"/>
        </w:rPr>
        <w:t>19</w:t>
      </w:r>
      <w:r>
        <w:rPr>
          <w:rFonts w:hint="eastAsia" w:cs="仿宋" w:asciiTheme="minorEastAsia" w:hAnsiTheme="minorEastAsia" w:eastAsiaTheme="minorEastAsia"/>
          <w:szCs w:val="24"/>
        </w:rPr>
        <w:t>.呼气末正压(EPAP)：4-</w:t>
      </w:r>
      <w:r>
        <w:rPr>
          <w:rFonts w:hint="eastAsia" w:cs="仿宋" w:asciiTheme="minorEastAsia" w:hAnsiTheme="minorEastAsia" w:eastAsiaTheme="minorEastAsia"/>
          <w:szCs w:val="24"/>
          <w:lang w:eastAsia="zh-CN"/>
        </w:rPr>
        <w:t>25</w:t>
      </w:r>
      <w:r>
        <w:rPr>
          <w:rFonts w:hint="eastAsia" w:cs="仿宋" w:asciiTheme="minorEastAsia" w:hAnsiTheme="minorEastAsia" w:eastAsiaTheme="minorEastAsia"/>
          <w:szCs w:val="24"/>
        </w:rPr>
        <w:t>cmH2O</w:t>
      </w:r>
    </w:p>
    <w:p w14:paraId="6FE39465">
      <w:pPr>
        <w:rPr>
          <w:rFonts w:cs="仿宋" w:asciiTheme="minorEastAsia" w:hAnsiTheme="minorEastAsia" w:eastAsiaTheme="minorEastAsia"/>
          <w:szCs w:val="24"/>
        </w:rPr>
      </w:pPr>
      <w:r>
        <w:rPr>
          <w:rFonts w:hint="eastAsia" w:cs="仿宋" w:asciiTheme="minorEastAsia" w:hAnsiTheme="minorEastAsia" w:eastAsiaTheme="minorEastAsia"/>
          <w:szCs w:val="24"/>
        </w:rPr>
        <w:t>2</w:t>
      </w:r>
      <w:r>
        <w:rPr>
          <w:rFonts w:hint="eastAsia" w:cs="仿宋" w:asciiTheme="minorEastAsia" w:hAnsiTheme="minorEastAsia" w:eastAsiaTheme="minorEastAsia"/>
          <w:szCs w:val="24"/>
          <w:lang w:eastAsia="zh-CN"/>
        </w:rPr>
        <w:t>0</w:t>
      </w:r>
      <w:r>
        <w:rPr>
          <w:rFonts w:hint="eastAsia" w:cs="仿宋" w:asciiTheme="minorEastAsia" w:hAnsiTheme="minorEastAsia" w:eastAsiaTheme="minorEastAsia"/>
          <w:szCs w:val="24"/>
        </w:rPr>
        <w:t>.吸入氧浓度：21%</w:t>
      </w:r>
      <w:r>
        <w:rPr>
          <w:rFonts w:hint="eastAsia" w:cs="仿宋" w:asciiTheme="minorEastAsia" w:hAnsiTheme="minorEastAsia" w:eastAsiaTheme="minorEastAsia"/>
          <w:szCs w:val="24"/>
          <w:lang w:eastAsia="zh-CN"/>
        </w:rPr>
        <w:t>-</w:t>
      </w:r>
      <w:r>
        <w:rPr>
          <w:rFonts w:hint="eastAsia" w:cs="仿宋" w:asciiTheme="minorEastAsia" w:hAnsiTheme="minorEastAsia" w:eastAsiaTheme="minorEastAsia"/>
          <w:szCs w:val="24"/>
        </w:rPr>
        <w:t>100%</w:t>
      </w:r>
    </w:p>
    <w:p w14:paraId="2FCE31FE">
      <w:pPr>
        <w:rPr>
          <w:rFonts w:cs="仿宋" w:asciiTheme="minorEastAsia" w:hAnsiTheme="minorEastAsia" w:eastAsiaTheme="minorEastAsia"/>
          <w:szCs w:val="24"/>
        </w:rPr>
      </w:pPr>
      <w:r>
        <w:rPr>
          <w:rFonts w:hint="eastAsia" w:cs="仿宋" w:asciiTheme="minorEastAsia" w:hAnsiTheme="minorEastAsia" w:eastAsiaTheme="minorEastAsia"/>
          <w:szCs w:val="24"/>
        </w:rPr>
        <w:t>2</w:t>
      </w:r>
      <w:r>
        <w:rPr>
          <w:rFonts w:hint="eastAsia" w:cs="仿宋" w:asciiTheme="minorEastAsia" w:hAnsiTheme="minorEastAsia" w:eastAsiaTheme="minorEastAsia"/>
          <w:szCs w:val="24"/>
          <w:lang w:eastAsia="zh-CN"/>
        </w:rPr>
        <w:t>1</w:t>
      </w:r>
      <w:r>
        <w:rPr>
          <w:rFonts w:hint="eastAsia" w:cs="仿宋" w:asciiTheme="minorEastAsia" w:hAnsiTheme="minorEastAsia" w:eastAsiaTheme="minorEastAsia"/>
          <w:szCs w:val="24"/>
        </w:rPr>
        <w:t>.持续气道正压（CPAP）：4-2</w:t>
      </w:r>
      <w:r>
        <w:rPr>
          <w:rFonts w:hint="eastAsia" w:cs="仿宋" w:asciiTheme="minorEastAsia" w:hAnsiTheme="minorEastAsia" w:eastAsiaTheme="minorEastAsia"/>
          <w:szCs w:val="24"/>
          <w:lang w:eastAsia="zh-CN"/>
        </w:rPr>
        <w:t>5</w:t>
      </w:r>
      <w:r>
        <w:rPr>
          <w:rFonts w:hint="eastAsia" w:cs="仿宋" w:asciiTheme="minorEastAsia" w:hAnsiTheme="minorEastAsia" w:eastAsiaTheme="minorEastAsia"/>
          <w:szCs w:val="24"/>
        </w:rPr>
        <w:t>cmH2O</w:t>
      </w:r>
    </w:p>
    <w:p w14:paraId="1B1D0878">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rPr>
        <w:t>2</w:t>
      </w:r>
      <w:r>
        <w:rPr>
          <w:rFonts w:hint="eastAsia" w:cs="仿宋" w:asciiTheme="minorEastAsia" w:hAnsiTheme="minorEastAsia" w:eastAsiaTheme="minorEastAsia"/>
          <w:szCs w:val="24"/>
          <w:lang w:eastAsia="zh-CN"/>
        </w:rPr>
        <w:t>2</w:t>
      </w:r>
      <w:r>
        <w:rPr>
          <w:rFonts w:hint="eastAsia" w:cs="仿宋" w:asciiTheme="minorEastAsia" w:hAnsiTheme="minorEastAsia" w:eastAsiaTheme="minorEastAsia"/>
          <w:szCs w:val="24"/>
        </w:rPr>
        <w:t>.吸气压力最大值（Pmax）：6-50cmH2O</w:t>
      </w:r>
    </w:p>
    <w:p w14:paraId="4139A221">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23.吸气压力最小值（Pmin）：5-30cmH2O</w:t>
      </w:r>
    </w:p>
    <w:p w14:paraId="4896219E">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24.触发灵敏度多挡可调</w:t>
      </w:r>
    </w:p>
    <w:p w14:paraId="0051AD24">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25.监测参数：潮气量、呼吸频率、分钟通气量、病人端漏气量、峰值压力、呼气压力、吸气时间占比、平均压力、吸呼比等。实时提供监测参数≥72小时的趋势图、表分析，≥5000条报警和操作日志记录</w:t>
      </w:r>
    </w:p>
    <w:p w14:paraId="16CB45C6">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26.报警功能：压力过高报警、压力过低报警、潮气量过高报警、潮气量过低报警、呼吸频率过高报警、呼吸频率过低报警、分钟通气量过低报警、氧浓度过高报警、氧浓度过低报警。</w:t>
      </w:r>
    </w:p>
    <w:p w14:paraId="0322C872">
      <w:pPr>
        <w:rPr>
          <w:rFonts w:cs="仿宋" w:asciiTheme="minorEastAsia" w:hAnsiTheme="minorEastAsia" w:eastAsiaTheme="minorEastAsia"/>
          <w:szCs w:val="24"/>
          <w:lang w:eastAsia="zh-CN"/>
        </w:rPr>
      </w:pPr>
    </w:p>
    <w:p w14:paraId="2EDF94C5">
      <w:pPr>
        <w:pStyle w:val="5"/>
        <w:tabs>
          <w:tab w:val="left" w:pos="480"/>
        </w:tabs>
        <w:ind w:firstLine="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第二部分商务要求（资质要求、交货时间、售后服务等）：</w:t>
      </w:r>
    </w:p>
    <w:p w14:paraId="1E1FF887">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一、供应商资质</w:t>
      </w:r>
    </w:p>
    <w:p w14:paraId="23E19EC0">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参加本项目磋商的供应商应在响应文件中提供以下证明材料：</w:t>
      </w:r>
    </w:p>
    <w:p w14:paraId="3DABB8BB">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3D96E0B9">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（二）供应商须具备《中华人民共和国政府采购法》第二十二条第一款规定的条件，提供以下材料：</w:t>
      </w:r>
    </w:p>
    <w:p w14:paraId="651521C2">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1、营业执照副本或事业单位法人证书或民办非企业单位登记证书或社会团体法人登记证书或基金会法人登记证书扫描件或复印件并加盖公章。</w:t>
      </w:r>
    </w:p>
    <w:p w14:paraId="142D9F88">
      <w:pPr>
        <w:ind w:firstLine="480" w:firstLineChars="200"/>
        <w:rPr>
          <w:rFonts w:cs="仿宋" w:asciiTheme="minorEastAsia" w:hAnsiTheme="minorEastAsia" w:eastAsiaTheme="minorEastAsia"/>
          <w:szCs w:val="24"/>
          <w:lang w:eastAsia="zh-CN"/>
        </w:rPr>
      </w:pPr>
      <w:bookmarkStart w:id="0" w:name="OLE_LINK5"/>
      <w:r>
        <w:rPr>
          <w:rFonts w:hint="eastAsia" w:cs="仿宋" w:asciiTheme="minorEastAsia" w:hAnsiTheme="minorEastAsia" w:eastAsiaTheme="minorEastAsia"/>
          <w:szCs w:val="24"/>
          <w:lang w:eastAsia="zh-CN"/>
        </w:rPr>
        <w:t>2、财务状况报告等相关材料：提供2024年度经第三方会计师事务所审计的企业财务报告扫描件（应包括完整的审计报告和财务报表）或提交响应文件截止日期前近3个月内银行出具的资信证明复印件并加盖公章。</w:t>
      </w:r>
    </w:p>
    <w:p w14:paraId="6BA56BE9">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3、2025年至少1个月的依法缴纳税收和社会保险费的相关证明材料扫描件或复印件并加盖公章。</w:t>
      </w:r>
    </w:p>
    <w:bookmarkEnd w:id="0"/>
    <w:p w14:paraId="365BEA33">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4、提交响应文件截止日前3年在经营活动中没有重大违法记录的书面声明（提交响应文件截止日前成立不足3年的供应商可提供自成立以来无重大违法记录的书面声明）并加盖公章。</w:t>
      </w:r>
    </w:p>
    <w:p w14:paraId="1729E258">
      <w:pPr>
        <w:pStyle w:val="9"/>
        <w:rPr>
          <w:rFonts w:cs="仿宋" w:asciiTheme="minorEastAsia" w:hAnsiTheme="minorEastAsia" w:eastAsiaTheme="minorEastAsia"/>
          <w:szCs w:val="24"/>
          <w:lang w:val="en-US" w:eastAsia="zh-CN"/>
        </w:rPr>
      </w:pPr>
      <w:r>
        <w:rPr>
          <w:rFonts w:hint="eastAsia" w:cs="仿宋" w:asciiTheme="minorEastAsia" w:hAnsiTheme="minorEastAsia" w:eastAsiaTheme="minorEastAsia"/>
          <w:szCs w:val="24"/>
          <w:lang w:val="en-US" w:eastAsia="zh-CN"/>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78D73254">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1380AAFE">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（五）本项目不接受联合体参加磋商，供应商须提供《非联合体磋商声明函》并加盖公章。</w:t>
      </w:r>
    </w:p>
    <w:p w14:paraId="4F628EA7">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二．交货要求</w:t>
      </w:r>
    </w:p>
    <w:p w14:paraId="6E56BC3C">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1.交货时间：合同签订之日起十个工作日内安装调试完毕（具体情况以合同为准）</w:t>
      </w:r>
    </w:p>
    <w:p w14:paraId="57333587">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2.交货地点：天津市滨海新区中医医院</w:t>
      </w:r>
    </w:p>
    <w:p w14:paraId="0E67C440">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4B57DBB5">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4.交货的产品生产日期距离实际到货日期应≤6个月</w:t>
      </w:r>
    </w:p>
    <w:p w14:paraId="105C77A2">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三、服务要求</w:t>
      </w:r>
    </w:p>
    <w:p w14:paraId="5A8C3427">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保修期：整机保修五年(包含氧电池，自货物经采购方验收合格之日起计算保修期),保修期内出现质量问题由供应商免费上门保修，且免费更换全部零配件，并承担修理、调换或退货以及由此给采购方造成损失的实际费用。</w:t>
      </w:r>
    </w:p>
    <w:p w14:paraId="45ACEC7F">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2.依据产品说明书，保修期内供应商对所供货物提供免费维护与保养。</w:t>
      </w:r>
    </w:p>
    <w:p w14:paraId="1BA29859">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3.货物在保修期内更换整机的，从双方确认更换完成日期开始，保修期重新计算。</w:t>
      </w:r>
    </w:p>
    <w:p w14:paraId="70E4A830">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4.在产品说明书或标签中标明的使用期限内，供应商免费对货物的软件进行更新、维护、升级。</w:t>
      </w:r>
    </w:p>
    <w:p w14:paraId="7C7466FA">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505A4546">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6.在产品说明书或标签中标明的产品使用期限内，货物因制造粗糙、设计缺陷或原材料缺陷但在上述保修期届满之前的合理检测中未能发现的潜在缺陷，供应商负责免费更换、修复。</w:t>
      </w:r>
    </w:p>
    <w:p w14:paraId="1415564E">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7.供应商针对采购方的报修，供应商的服务人员在2小时内上门，并在48小时内予以修复，维修期间需要提供备用机。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586CDCFC">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8.供应商所提供的货物必须具有合法手续及相关文件。如涉及知识产权，则必须是自己拥有或合法使用，不得侵害任何第三方的合法权益。</w:t>
      </w:r>
    </w:p>
    <w:p w14:paraId="79076FE8">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9.供应商应随货物向采购方交付货物的使用说明书及货物相关的资料。如果所提交文件是外文的，供应商有义务为采购方提供中文或译成中文文件。</w:t>
      </w:r>
    </w:p>
    <w:p w14:paraId="3B8B91E0">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148FF9C8">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11.未经采购人同意，成交供应商不得转让合同、转包或分包。</w:t>
      </w:r>
    </w:p>
    <w:p w14:paraId="6ABE8171">
      <w:pPr>
        <w:ind w:firstLine="480" w:firstLineChars="2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12.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3FEDDB3C">
      <w:pPr>
        <w:ind w:firstLine="480" w:firstLineChars="200"/>
        <w:rPr>
          <w:rFonts w:cs="宋体"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13.供应商须整包进行磋商，不得拆包分项响应。</w:t>
      </w:r>
    </w:p>
    <w:p w14:paraId="61EC02E2">
      <w:pPr>
        <w:pStyle w:val="4"/>
        <w:shd w:val="clear" w:color="auto" w:fill="FFFFFF"/>
        <w:spacing w:before="0" w:beforeAutospacing="0" w:after="0" w:afterAutospacing="0" w:line="500" w:lineRule="exact"/>
        <w:ind w:firstLine="480" w:firstLineChars="200"/>
        <w:rPr>
          <w:rFonts w:cs="仿宋" w:asciiTheme="minorEastAsia" w:hAnsiTheme="minorEastAsia" w:eastAsiaTheme="minorEastAsia"/>
          <w:spacing w:val="8"/>
          <w:szCs w:val="24"/>
          <w:shd w:val="clear" w:color="auto" w:fill="FFFFFF"/>
        </w:rPr>
      </w:pPr>
      <w:r>
        <w:rPr>
          <w:rFonts w:hint="eastAsia" w:cs="宋体" w:asciiTheme="minorEastAsia" w:hAnsiTheme="minorEastAsia" w:eastAsiaTheme="minorEastAsia"/>
          <w:szCs w:val="24"/>
        </w:rPr>
        <w:t>14.</w:t>
      </w:r>
      <w:r>
        <w:rPr>
          <w:rFonts w:hint="eastAsia" w:cs="仿宋" w:asciiTheme="minorEastAsia" w:hAnsiTheme="minorEastAsia" w:eastAsiaTheme="minorEastAsia"/>
          <w:spacing w:val="8"/>
          <w:szCs w:val="24"/>
          <w:shd w:val="clear" w:color="auto" w:fill="FFFFFF"/>
        </w:rPr>
        <w:t>供应商如为代理商须提供所投产品生产厂家或代理机构出具的产品授权书复印件（如为代理机构授权，供应商还须同时提供代理机构与生产厂家之间的销售授权证明），将授权书复印件并加盖供应商公章。</w:t>
      </w:r>
    </w:p>
    <w:p w14:paraId="6D58012A">
      <w:pPr>
        <w:pStyle w:val="4"/>
        <w:shd w:val="clear" w:color="auto" w:fill="FFFFFF"/>
        <w:spacing w:before="0" w:beforeAutospacing="0" w:after="0" w:afterAutospacing="0" w:line="500" w:lineRule="exact"/>
        <w:ind w:firstLine="512" w:firstLineChars="200"/>
        <w:rPr>
          <w:rFonts w:cs="仿宋" w:asciiTheme="minorEastAsia" w:hAnsiTheme="minorEastAsia" w:eastAsiaTheme="minorEastAsia"/>
          <w:spacing w:val="8"/>
          <w:szCs w:val="24"/>
          <w:shd w:val="clear" w:color="auto" w:fill="FFFFFF"/>
        </w:rPr>
      </w:pPr>
      <w:r>
        <w:rPr>
          <w:rFonts w:hint="eastAsia" w:cs="仿宋" w:asciiTheme="minorEastAsia" w:hAnsiTheme="minorEastAsia" w:eastAsiaTheme="minorEastAsia"/>
          <w:spacing w:val="8"/>
          <w:szCs w:val="24"/>
          <w:shd w:val="clear" w:color="auto" w:fill="FFFFFF"/>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14:paraId="7C7FA5A8">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第三部分：付款方式</w:t>
      </w:r>
    </w:p>
    <w:p w14:paraId="68AF0100">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1.供应商在合同签订三日内向采购方缴纳合同标的额的10%作为履约保证金，待保修期届满后，由采购方在保修期届满30日内全额(无息)退还给供应商，但历次因违约扣除的履约保证金不予退还。在保修期内，供应商一旦发生需扣除履约保证金的情形，供应商应在收到采购方扣除履约保证金通知之日起30日内向采购方补足履约保证金。</w:t>
      </w:r>
    </w:p>
    <w:p w14:paraId="4EEA4E0D">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2.货物送到指定地点、完成安装调试、经院方验收合格，院方已收到足额履约保证金，且院方收到中标供应商提供的等额合规发票后全额付款。</w:t>
      </w:r>
    </w:p>
    <w:p w14:paraId="0F4FC3E3">
      <w:pPr>
        <w:rPr>
          <w:rFonts w:cs="仿宋" w:asciiTheme="minorEastAsia" w:hAnsiTheme="minorEastAsia" w:eastAsiaTheme="minorEastAsia"/>
          <w:szCs w:val="24"/>
          <w:lang w:eastAsia="zh-CN"/>
        </w:rPr>
      </w:pPr>
    </w:p>
    <w:p w14:paraId="2C391305">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是否有配套耗材：</w:t>
      </w:r>
      <w:r>
        <w:rPr>
          <w:rFonts w:hint="eastAsia" w:cs="仿宋" w:asciiTheme="minorEastAsia" w:hAnsiTheme="minorEastAsia" w:eastAsiaTheme="minorEastAsia"/>
          <w:szCs w:val="24"/>
        </w:rPr>
        <w:sym w:font="Wingdings" w:char="00FE"/>
      </w:r>
      <w:r>
        <w:rPr>
          <w:rFonts w:hint="eastAsia" w:cs="仿宋" w:asciiTheme="minorEastAsia" w:hAnsiTheme="minorEastAsia" w:eastAsiaTheme="minorEastAsia"/>
          <w:szCs w:val="24"/>
          <w:lang w:eastAsia="zh-CN"/>
        </w:rPr>
        <w:t>有</w:t>
      </w:r>
      <w:r>
        <w:rPr>
          <w:rFonts w:hint="eastAsia" w:cs="仿宋" w:asciiTheme="minorEastAsia" w:hAnsiTheme="minorEastAsia" w:eastAsiaTheme="minorEastAsia"/>
          <w:szCs w:val="24"/>
        </w:rPr>
        <w:sym w:font="Wingdings" w:char="00A8"/>
      </w:r>
      <w:r>
        <w:rPr>
          <w:rFonts w:hint="eastAsia" w:cs="仿宋" w:asciiTheme="minorEastAsia" w:hAnsiTheme="minorEastAsia" w:eastAsiaTheme="minorEastAsia"/>
          <w:szCs w:val="24"/>
          <w:lang w:eastAsia="zh-CN"/>
        </w:rPr>
        <w:t>无</w:t>
      </w:r>
    </w:p>
    <w:p w14:paraId="7438BAF3">
      <w:pPr>
        <w:ind w:firstLine="240" w:firstLineChars="100"/>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呼吸管路</w:t>
      </w:r>
    </w:p>
    <w:p w14:paraId="60322DCF">
      <w:pPr>
        <w:rPr>
          <w:rFonts w:cs="仿宋" w:asciiTheme="minorEastAsia" w:hAnsiTheme="minorEastAsia" w:eastAsiaTheme="minorEastAsia"/>
          <w:szCs w:val="24"/>
          <w:lang w:eastAsia="zh-CN"/>
        </w:rPr>
      </w:pPr>
      <w:r>
        <w:rPr>
          <w:rFonts w:hint="eastAsia" w:cs="仿宋" w:asciiTheme="minorEastAsia" w:hAnsiTheme="minorEastAsia" w:eastAsiaTheme="minorEastAsia"/>
          <w:szCs w:val="24"/>
          <w:lang w:eastAsia="zh-CN"/>
        </w:rPr>
        <w:t>其他要求：必须配备氧气瓶及携带氧气瓶装置， 配备备用电池一块</w:t>
      </w:r>
    </w:p>
    <w:p w14:paraId="03EF97E7">
      <w:pPr>
        <w:pStyle w:val="8"/>
        <w:ind w:left="408" w:firstLine="0"/>
        <w:jc w:val="left"/>
        <w:rPr>
          <w:rFonts w:cs="宋体" w:asciiTheme="minorEastAsia" w:hAnsiTheme="minorEastAsia" w:eastAsiaTheme="minorEastAsia"/>
          <w:color w:val="auto"/>
          <w:spacing w:val="8"/>
          <w:kern w:val="0"/>
          <w:shd w:val="clear" w:color="auto" w:fill="FFFFFF"/>
          <w:lang w:bidi="ar"/>
        </w:rPr>
      </w:pPr>
    </w:p>
    <w:p w14:paraId="71F7576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050B6"/>
    <w:multiLevelType w:val="singleLevel"/>
    <w:tmpl w:val="F6A050B6"/>
    <w:lvl w:ilvl="0" w:tentative="0">
      <w:start w:val="1"/>
      <w:numFmt w:val="chineseCounting"/>
      <w:suff w:val="nothing"/>
      <w:lvlText w:val="%1、"/>
      <w:lvlJc w:val="left"/>
      <w:pPr>
        <w:ind w:left="40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20E9F"/>
    <w:rsid w:val="3262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textAlignment w:val="baseline"/>
    </w:pPr>
    <w:rPr>
      <w:rFonts w:ascii="Arial" w:hAnsi="Arial" w:eastAsia="宋体" w:cs="Arial"/>
      <w:snapToGrid w:val="0"/>
      <w:color w:val="000000"/>
      <w:sz w:val="24"/>
      <w:szCs w:val="21"/>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eastAsia="Arial"/>
      <w:sz w:val="21"/>
    </w:rPr>
  </w:style>
  <w:style w:type="paragraph" w:styleId="3">
    <w:name w:val="Body Text Indent"/>
    <w:basedOn w:val="1"/>
    <w:next w:val="2"/>
    <w:qFormat/>
    <w:uiPriority w:val="0"/>
    <w:pPr>
      <w:ind w:firstLine="435"/>
    </w:pPr>
    <w:rPr>
      <w:rFonts w:ascii="仿宋_GB2312" w:hAnsi="Times New Roman" w:eastAsia="仿宋_GB2312"/>
      <w:bCs/>
      <w:sz w:val="32"/>
      <w:szCs w:val="28"/>
    </w:rPr>
  </w:style>
  <w:style w:type="paragraph" w:styleId="4">
    <w:name w:val="Normal (Web)"/>
    <w:basedOn w:val="1"/>
    <w:qFormat/>
    <w:uiPriority w:val="0"/>
    <w:pPr>
      <w:spacing w:before="100" w:beforeAutospacing="1" w:after="100" w:afterAutospacing="1"/>
    </w:pPr>
    <w:rPr>
      <w:rFonts w:cs="Times New Roman"/>
      <w:lang w:eastAsia="zh-CN"/>
    </w:rPr>
  </w:style>
  <w:style w:type="paragraph" w:styleId="5">
    <w:name w:val="Body Text First Indent 2"/>
    <w:basedOn w:val="3"/>
    <w:next w:val="1"/>
    <w:unhideWhenUsed/>
    <w:qFormat/>
    <w:uiPriority w:val="99"/>
    <w:pPr>
      <w:ind w:firstLine="420"/>
    </w:pPr>
  </w:style>
  <w:style w:type="paragraph" w:customStyle="1" w:styleId="8">
    <w:name w:val="正文 A"/>
    <w:qFormat/>
    <w:uiPriority w:val="0"/>
    <w:pPr>
      <w:widowControl w:val="0"/>
      <w:spacing w:line="360" w:lineRule="auto"/>
      <w:ind w:firstLine="1648"/>
      <w:jc w:val="both"/>
    </w:pPr>
    <w:rPr>
      <w:rFonts w:ascii="Times New Roman" w:hAnsi="Times New Roman" w:eastAsia="Times New Roman" w:cs="Times New Roman"/>
      <w:color w:val="000000"/>
      <w:kern w:val="2"/>
      <w:sz w:val="24"/>
      <w:szCs w:val="24"/>
      <w:lang w:val="en-US" w:eastAsia="zh-CN" w:bidi="ar-SA"/>
    </w:rPr>
  </w:style>
  <w:style w:type="paragraph" w:customStyle="1" w:styleId="9">
    <w:name w:val="首行缩进"/>
    <w:basedOn w:val="1"/>
    <w:qFormat/>
    <w:uiPriority w:val="0"/>
    <w:pPr>
      <w:ind w:firstLine="480" w:firstLineChars="200"/>
    </w:pPr>
    <w:rPr>
      <w:rFonts w:ascii="Times New Roman" w:hAnsi="Times New Roman" w:cs="Times New Roman"/>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2025-09-05T04:41:00Z</dcterms:created>
  <dc:creator>柳絮飞</dc:creator>
  <cp:lastModifiedBy>柳絮飞</cp:lastModifiedBy>
  <dcterms:modified xsi:type="dcterms:W3CDTF">2025-09-05T04:42:02Z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C2208C61F86549549200F1E8C833A1CF_11</vt:lpwstr>
  </property>
  <property fmtid="{D5CDD505-2E9C-101B-9397-08002B2CF9AE}" pid="4" name="KSOTemplateDocerSaveRecord">
    <vt:lpwstr>eyJoZGlkIjoiOWE1NmUwMmVjNjU2YzcwMDFmMzY3NzA5Mjc3MGE3YTQiLCJ1c2VySWQiOiIzMTIwNTAyMzUifQ==</vt:lpwstr>
  </property>
</Properties>
</file>