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471F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1179D7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天津市滨海新区中医医院</w:t>
      </w:r>
      <w:r>
        <w:rPr>
          <w:rFonts w:hint="eastAsia" w:ascii="宋体" w:hAnsi="宋体" w:eastAsia="宋体" w:cs="宋体"/>
          <w:color w:val="auto"/>
          <w:sz w:val="24"/>
          <w:szCs w:val="24"/>
          <w:highlight w:val="none"/>
          <w:lang w:val="en-US" w:eastAsia="zh-CN"/>
        </w:rPr>
        <w:t>拟采购</w:t>
      </w:r>
      <w:bookmarkStart w:id="0" w:name="_GoBack"/>
      <w:r>
        <w:rPr>
          <w:rFonts w:hint="default" w:ascii="宋体" w:hAnsi="宋体" w:eastAsia="宋体" w:cs="宋体"/>
          <w:color w:val="auto"/>
          <w:sz w:val="24"/>
          <w:szCs w:val="24"/>
          <w:highlight w:val="none"/>
          <w:lang w:val="en-US" w:eastAsia="zh-CN"/>
        </w:rPr>
        <w:t>多参数脑电生物反馈治疗仪</w:t>
      </w:r>
      <w:bookmarkEnd w:id="0"/>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台。</w:t>
      </w:r>
    </w:p>
    <w:p w14:paraId="61CE1C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（二）技术参数</w:t>
      </w:r>
    </w:p>
    <w:tbl>
      <w:tblPr>
        <w:tblStyle w:val="3"/>
        <w:tblW w:w="90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2"/>
        <w:gridCol w:w="1241"/>
        <w:gridCol w:w="966"/>
        <w:gridCol w:w="6038"/>
      </w:tblGrid>
      <w:tr w14:paraId="2E8EB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tblHeader/>
          <w:jc w:val="center"/>
        </w:trPr>
        <w:tc>
          <w:tcPr>
            <w:tcW w:w="812" w:type="dxa"/>
            <w:tcBorders>
              <w:top w:val="single" w:color="auto" w:sz="8" w:space="0"/>
              <w:left w:val="single" w:color="auto" w:sz="8" w:space="0"/>
              <w:bottom w:val="single" w:color="auto" w:sz="8" w:space="0"/>
              <w:right w:val="single" w:color="auto" w:sz="8" w:space="0"/>
            </w:tcBorders>
            <w:vAlign w:val="center"/>
          </w:tcPr>
          <w:p w14:paraId="3DEE20A6">
            <w:pPr>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序号</w:t>
            </w:r>
          </w:p>
        </w:tc>
        <w:tc>
          <w:tcPr>
            <w:tcW w:w="1241" w:type="dxa"/>
            <w:tcBorders>
              <w:top w:val="single" w:color="auto" w:sz="8" w:space="0"/>
              <w:left w:val="single" w:color="auto" w:sz="8" w:space="0"/>
              <w:bottom w:val="single" w:color="auto" w:sz="8" w:space="0"/>
              <w:right w:val="single" w:color="auto" w:sz="8" w:space="0"/>
            </w:tcBorders>
            <w:vAlign w:val="center"/>
          </w:tcPr>
          <w:p w14:paraId="2AD90872">
            <w:pPr>
              <w:spacing w:line="360" w:lineRule="auto"/>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采购名称</w:t>
            </w:r>
          </w:p>
        </w:tc>
        <w:tc>
          <w:tcPr>
            <w:tcW w:w="966" w:type="dxa"/>
            <w:tcBorders>
              <w:top w:val="single" w:color="auto" w:sz="8" w:space="0"/>
              <w:left w:val="single" w:color="auto" w:sz="8" w:space="0"/>
              <w:bottom w:val="single" w:color="auto" w:sz="8" w:space="0"/>
              <w:right w:val="single" w:color="auto" w:sz="8" w:space="0"/>
            </w:tcBorders>
            <w:vAlign w:val="center"/>
          </w:tcPr>
          <w:p w14:paraId="67F4FA59">
            <w:pPr>
              <w:spacing w:line="360" w:lineRule="auto"/>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数量及单位</w:t>
            </w:r>
          </w:p>
        </w:tc>
        <w:tc>
          <w:tcPr>
            <w:tcW w:w="6038" w:type="dxa"/>
            <w:tcBorders>
              <w:top w:val="single" w:color="auto" w:sz="8" w:space="0"/>
              <w:left w:val="single" w:color="auto" w:sz="8" w:space="0"/>
              <w:bottom w:val="single" w:color="auto" w:sz="8" w:space="0"/>
              <w:right w:val="single" w:color="auto" w:sz="8" w:space="0"/>
            </w:tcBorders>
            <w:vAlign w:val="center"/>
          </w:tcPr>
          <w:p w14:paraId="07510D1B">
            <w:pPr>
              <w:spacing w:line="360" w:lineRule="auto"/>
              <w:jc w:val="cente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技术要求</w:t>
            </w:r>
          </w:p>
        </w:tc>
      </w:tr>
      <w:tr w14:paraId="32CB9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3" w:hRule="atLeast"/>
          <w:jc w:val="center"/>
        </w:trPr>
        <w:tc>
          <w:tcPr>
            <w:tcW w:w="812" w:type="dxa"/>
            <w:tcBorders>
              <w:top w:val="single" w:color="auto" w:sz="8" w:space="0"/>
              <w:left w:val="single" w:color="auto" w:sz="8" w:space="0"/>
              <w:right w:val="single" w:color="auto" w:sz="8" w:space="0"/>
            </w:tcBorders>
            <w:vAlign w:val="center"/>
          </w:tcPr>
          <w:p w14:paraId="49A956D0">
            <w:pPr>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p>
        </w:tc>
        <w:tc>
          <w:tcPr>
            <w:tcW w:w="1241" w:type="dxa"/>
            <w:tcBorders>
              <w:top w:val="single" w:color="auto" w:sz="8" w:space="0"/>
              <w:left w:val="single" w:color="auto" w:sz="8" w:space="0"/>
              <w:right w:val="single" w:color="auto" w:sz="8" w:space="0"/>
            </w:tcBorders>
            <w:vAlign w:val="center"/>
          </w:tcPr>
          <w:p w14:paraId="28045EDB">
            <w:pPr>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多参数脑电生物反馈治疗仪</w:t>
            </w:r>
          </w:p>
        </w:tc>
        <w:tc>
          <w:tcPr>
            <w:tcW w:w="966" w:type="dxa"/>
            <w:tcBorders>
              <w:top w:val="single" w:color="auto" w:sz="8" w:space="0"/>
              <w:left w:val="single" w:color="auto" w:sz="8" w:space="0"/>
              <w:right w:val="single" w:color="auto" w:sz="8" w:space="0"/>
            </w:tcBorders>
            <w:vAlign w:val="center"/>
          </w:tcPr>
          <w:p w14:paraId="44D69338">
            <w:pPr>
              <w:spacing w:line="360" w:lineRule="auto"/>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1台</w:t>
            </w:r>
          </w:p>
        </w:tc>
        <w:tc>
          <w:tcPr>
            <w:tcW w:w="6038" w:type="dxa"/>
            <w:tcBorders>
              <w:top w:val="single" w:color="auto" w:sz="8" w:space="0"/>
              <w:left w:val="single" w:color="auto" w:sz="8" w:space="0"/>
              <w:right w:val="single" w:color="auto" w:sz="8" w:space="0"/>
            </w:tcBorders>
            <w:vAlign w:val="center"/>
          </w:tcPr>
          <w:p w14:paraId="23019445">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1.适用范围：用于焦虑症、儿童多动症神经精神疾病的生物反馈治疗。</w:t>
            </w:r>
          </w:p>
          <w:p w14:paraId="156850A7">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2.四通道多参数信号处理器均为独立通道</w:t>
            </w:r>
          </w:p>
          <w:p w14:paraId="308B7009">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3.数据传输采用光纤传输，光纤长度可调节</w:t>
            </w:r>
          </w:p>
          <w:p w14:paraId="05F16D11">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4.监测和记录脑电（ EEG )、肌电（ EMG ）生理信号</w:t>
            </w:r>
          </w:p>
          <w:p w14:paraId="11B0D617">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5.信号处理器的工作模式采用直流供电，非集成外置独立传感器，内置IC芯片</w:t>
            </w:r>
          </w:p>
          <w:p w14:paraId="759B74E3">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6.内置定标阻抗测试功能</w:t>
            </w:r>
          </w:p>
          <w:p w14:paraId="7D4B6F16">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7.脑电电极可用于头部任何位点，肌电电极可用于全身任何部位肌肉</w:t>
            </w:r>
          </w:p>
          <w:p w14:paraId="3161DC8F">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8.AD采样率:脑电（EEG）≥256Hz、肌电（EMG）≥2048Hz,AD采样位数≥14，AD采样精确度误差≤±10%</w:t>
            </w:r>
          </w:p>
          <w:p w14:paraId="4E124EDB">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9.输入阻抗≥5MΩ</w:t>
            </w:r>
          </w:p>
          <w:p w14:paraId="759870F8">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10.脑电(EEG)测量范围：2-500μVp-p，肌电(EMG)测量范围：5-5000μYp-p。</w:t>
            </w:r>
          </w:p>
          <w:p w14:paraId="4BAB60FE">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11.输入噪声（噪声电平）:脑电(EEG)通道≤2μVp-p(r.m.s),肌电(EMG)通道≤1μVp-p(rm.s)</w:t>
            </w:r>
          </w:p>
          <w:p w14:paraId="7943DEF2">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12.电极生物安全性：细胞毒性≤1级，应无致敏反应，应无皮肤刺激反应</w:t>
            </w:r>
          </w:p>
          <w:p w14:paraId="1E11EF64">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13.操作平台软件中文版，支持AVI、Flash、MIDI、Wave、MP3、DVD等通用媒体格式；开发工具软件Developer Tools，内含通道编辑软件（Channel Editor）、界面编辑软件（Screen Editor）、方案编辑软件（Script Editor）</w:t>
            </w:r>
          </w:p>
          <w:p w14:paraId="6CB3D22E">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14.可根据不同疾病的脑电变化提供≥5个治疗方案</w:t>
            </w:r>
          </w:p>
          <w:p w14:paraId="115089ED">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15.评估功能：具备视听整合连续测试（IVA-CPT）等4种以上评估方式</w:t>
            </w:r>
          </w:p>
          <w:p w14:paraId="52025710">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16.训练功能：实时反馈，针对性治疗</w:t>
            </w:r>
          </w:p>
          <w:p w14:paraId="13E562C5">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17.数据处理：满足疾病诊治数据处理要求</w:t>
            </w:r>
          </w:p>
          <w:p w14:paraId="0ABDA07A">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18.数据管理功能：回放训练，生成报告，数据分析，具备科研功能</w:t>
            </w:r>
          </w:p>
          <w:p w14:paraId="4AF4830D">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19.具备数据存储与输出功能</w:t>
            </w:r>
          </w:p>
        </w:tc>
      </w:tr>
    </w:tbl>
    <w:p w14:paraId="3826959F">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（三）服务要求</w:t>
      </w:r>
    </w:p>
    <w:p w14:paraId="768F945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1.保修期：整机保修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年(自货物经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验收合格之日起计算保修期),保修期内出现质量问题由供应商免费上门保修，且免费更换全部零配件，并承担修理、调换或退货以及由此给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造成损失的实际费用。</w:t>
      </w:r>
    </w:p>
    <w:p w14:paraId="118A9AF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2.依据产品说明书，保修期内供应商对所供货物提供免费维护与保养。</w:t>
      </w:r>
    </w:p>
    <w:p w14:paraId="1C4AC00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3.货物在保修期内更换整机的，从双方确认更换完成日期开始，保修期重新计算。</w:t>
      </w:r>
    </w:p>
    <w:p w14:paraId="353F6CD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4.在产品说明书或标签中标明的使用期限内，供应商免费对货物的软件进行更新、维护、升级。</w:t>
      </w:r>
    </w:p>
    <w:p w14:paraId="6C45FD7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5.在产品说明书或标签中标明的产品使用期限内，因货物质量问题，造成事故，供应商除负责修复、调换本合同货物外，还应承担受损人员及财产的赔偿责任，包括但不限于造成</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数据丢失、损坏的，还应承担恢复数据、信息等费用损失。</w:t>
      </w:r>
    </w:p>
    <w:p w14:paraId="2EBB24D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6.在产品说明书或标签中标明的产品使用期限内，货物因制造粗糙、设计缺陷或原材料缺陷但在上述保修期届满之前的合理检测中未能发现的潜在缺陷，供应商负责免费更换、修复。</w:t>
      </w:r>
    </w:p>
    <w:p w14:paraId="638BBD9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7.供应商针对</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的报修，供应商的服务人员在24小时内上门，并在48小时内予以修复。供应商对于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报修后48小时内无法修复的部分：保修期内供应商72小时内免费更换；超过保修期但仍在产品说明书或标签中标明的产品使用期限内的，供应商72小时内更换。若供应商不予配合，</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有权委托第三方修复或者向第三方采购同等规格的替换产品，由此产生的一切费用均由供应商承担。</w:t>
      </w:r>
    </w:p>
    <w:p w14:paraId="2784A2C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8.供应商所提供的货物必须具有合法手续及相关文件。如涉及知识产权，则必须是自己拥有或合法使用，不得侵害任何第三方的合法权益。</w:t>
      </w:r>
    </w:p>
    <w:p w14:paraId="3CD1005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9.供应商应随货物向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交付货物的使用说明书及货物相关的资料。如果所提交文件是外文的，供应商有义务为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提供中文或译成中文文件。</w:t>
      </w:r>
    </w:p>
    <w:p w14:paraId="220D6EF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10.货物在途及安装调试过程中的风险及责任全部由供应商自行承担，包括但不限于货物在途时或安装调试过程中发生毁损、灭失，以及给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或其工作人员、供应商或其工作人员、第三方造成人身伤亡或财产损失等。</w:t>
      </w:r>
    </w:p>
    <w:p w14:paraId="33AE78B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11.未经采购人同意，成交供应商不得转让合同、转包或分包。</w:t>
      </w:r>
    </w:p>
    <w:p w14:paraId="06CC876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281318E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13.供应商须整包进行磋商，不得拆包分项响应。 </w:t>
      </w:r>
    </w:p>
    <w:p w14:paraId="3F80CEC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14.供应商如为代理商须提供所投产品生产厂家或代理机构出具的产品授权书复印件（如为代理机构授权，供应商还须同时提供代理机构与生产厂家之间的销售授权证明），将授权书复印件并加盖供应商公章。</w:t>
      </w:r>
    </w:p>
    <w:p w14:paraId="220DB16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w:t>
      </w:r>
    </w:p>
    <w:p w14:paraId="765AF88C">
      <w:pPr>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16.其他要求：配套设备（包含软件、硬件、音响、耳机等）、台车、单屏支架、导电膏、磨砂膏。</w:t>
      </w:r>
    </w:p>
    <w:p w14:paraId="035F4670">
      <w:pPr>
        <w:snapToGrid w:val="0"/>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17.配套耗材：不涉及。</w:t>
      </w:r>
    </w:p>
    <w:p w14:paraId="6055CBA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：标“★”条款为实质性条款，</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不能出现任何负偏离，否则按无效</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处理。负偏离是指</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所提交</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文件的内容劣于或经</w:t>
      </w:r>
      <w:r>
        <w:rPr>
          <w:rFonts w:hint="eastAsia" w:ascii="宋体" w:hAnsi="宋体" w:eastAsia="宋体" w:cs="宋体"/>
          <w:color w:val="000000"/>
          <w:sz w:val="24"/>
          <w:szCs w:val="24"/>
          <w:highlight w:val="none"/>
          <w:lang w:val="en-US" w:eastAsia="zh-CN"/>
        </w:rPr>
        <w:t>磋商小组</w:t>
      </w:r>
      <w:r>
        <w:rPr>
          <w:rFonts w:hint="eastAsia" w:ascii="宋体" w:hAnsi="宋体" w:eastAsia="宋体" w:cs="宋体"/>
          <w:color w:val="000000"/>
          <w:sz w:val="24"/>
          <w:szCs w:val="24"/>
          <w:highlight w:val="none"/>
        </w:rPr>
        <w:t>认定不满足</w:t>
      </w:r>
      <w:r>
        <w:rPr>
          <w:rFonts w:hint="eastAsia" w:ascii="宋体" w:hAnsi="宋体" w:eastAsia="宋体" w:cs="宋体"/>
          <w:color w:val="000000"/>
          <w:sz w:val="24"/>
          <w:szCs w:val="24"/>
          <w:highlight w:val="none"/>
          <w:lang w:val="en-US" w:eastAsia="zh-CN"/>
        </w:rPr>
        <w:t>竞争性磋商</w:t>
      </w:r>
      <w:r>
        <w:rPr>
          <w:rFonts w:hint="eastAsia" w:ascii="宋体" w:hAnsi="宋体" w:eastAsia="宋体" w:cs="宋体"/>
          <w:color w:val="000000"/>
          <w:sz w:val="24"/>
          <w:szCs w:val="24"/>
          <w:highlight w:val="none"/>
        </w:rPr>
        <w:t>文件的情形。</w:t>
      </w:r>
    </w:p>
    <w:p w14:paraId="3FAAEA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B0582"/>
    <w:multiLevelType w:val="singleLevel"/>
    <w:tmpl w:val="4E9B05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37228"/>
    <w:rsid w:val="1323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2025-09-05T05:03:00Z</dcterms:created>
  <dc:creator>柳絮飞</dc:creator>
  <cp:lastModifiedBy>柳絮飞</cp:lastModifiedBy>
  <dcterms:modified xsi:type="dcterms:W3CDTF">2025-09-05T05:04:02Z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5200DC150BF841C28F1206A9416AA907_11</vt:lpwstr>
  </property>
  <property fmtid="{D5CDD505-2E9C-101B-9397-08002B2CF9AE}" pid="4" name="KSOTemplateDocerSaveRecord">
    <vt:lpwstr>eyJoZGlkIjoiOWE1NmUwMmVjNjU2YzcwMDFmMzY3NzA5Mjc3MGE3YTQiLCJ1c2VySWQiOiIzMTIwNTAyMzUifQ==</vt:lpwstr>
  </property>
</Properties>
</file>