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5A4FA">
      <w:pPr>
        <w:pStyle w:val="2"/>
        <w:bidi w:val="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项目需求书</w:t>
      </w:r>
    </w:p>
    <w:p w14:paraId="07021E8D">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一、项目背景</w:t>
      </w:r>
    </w:p>
    <w:p w14:paraId="19AB6482">
      <w:pPr>
        <w:keepNext w:val="0"/>
        <w:keepLines w:val="0"/>
        <w:pageBreakBefore w:val="0"/>
        <w:widowControl w:val="0"/>
        <w:kinsoku/>
        <w:wordWrap/>
        <w:overflowPunct/>
        <w:topLinePunct w:val="0"/>
        <w:bidi w:val="0"/>
        <w:spacing w:line="360" w:lineRule="auto"/>
        <w:ind w:firstLine="420" w:firstLineChars="20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为积极响应国家“健康老龄化”战略及中医药服务能力提升工程，充分展示我院中医老年病科在老年慢病管理、中医特色疗法、医养结合服务</w:t>
      </w:r>
      <w:r>
        <w:rPr>
          <w:rFonts w:hint="eastAsia" w:ascii="宋体" w:hAnsi="宋体" w:eastAsia="宋体" w:cs="宋体"/>
          <w:color w:val="auto"/>
          <w:sz w:val="21"/>
          <w:szCs w:val="21"/>
          <w:lang w:val="en-US" w:eastAsia="zh-CN"/>
        </w:rPr>
        <w:t>等</w:t>
      </w:r>
      <w:r>
        <w:rPr>
          <w:rFonts w:hint="eastAsia" w:ascii="宋体" w:hAnsi="宋体" w:eastAsia="宋体" w:cs="宋体"/>
          <w:color w:val="auto"/>
          <w:sz w:val="21"/>
          <w:szCs w:val="21"/>
        </w:rPr>
        <w:t>领域的专业优势，打造具有传播力与公信力的中医文化载体，增强公众对中医老年病防治的认知与信任，助力科室区域性影响力提升。</w:t>
      </w:r>
    </w:p>
    <w:p w14:paraId="48905A74">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二、项目预算</w:t>
      </w:r>
    </w:p>
    <w:p w14:paraId="66D70FE2">
      <w:pPr>
        <w:pStyle w:val="6"/>
        <w:keepNext w:val="0"/>
        <w:keepLines w:val="0"/>
        <w:pageBreakBefore w:val="0"/>
        <w:widowControl w:val="0"/>
        <w:kinsoku/>
        <w:wordWrap/>
        <w:overflowPunct/>
        <w:topLinePunct w:val="0"/>
        <w:bidi w:val="0"/>
        <w:spacing w:line="360" w:lineRule="auto"/>
        <w:ind w:firstLine="0"/>
        <w:textAlignment w:val="auto"/>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rPr>
        <w:t>（一）项目概况</w:t>
      </w:r>
    </w:p>
    <w:p w14:paraId="3A5697BA">
      <w:pPr>
        <w:pStyle w:val="6"/>
        <w:keepNext w:val="0"/>
        <w:keepLines w:val="0"/>
        <w:pageBreakBefore w:val="0"/>
        <w:widowControl w:val="0"/>
        <w:kinsoku/>
        <w:wordWrap/>
        <w:overflowPunct/>
        <w:topLinePunct w:val="0"/>
        <w:bidi w:val="0"/>
        <w:spacing w:line="360" w:lineRule="auto"/>
        <w:ind w:firstLine="0"/>
        <w:textAlignment w:val="auto"/>
        <w:rPr>
          <w:rFonts w:hint="eastAsia" w:ascii="宋体" w:hAnsi="宋体" w:eastAsia="宋体" w:cs="宋体"/>
          <w:color w:val="auto"/>
          <w:sz w:val="21"/>
          <w:szCs w:val="21"/>
          <w:lang w:val="en-US"/>
        </w:rPr>
      </w:pPr>
      <w:bookmarkStart w:id="0" w:name="_Hlk180752090"/>
      <w:r>
        <w:rPr>
          <w:rFonts w:hint="eastAsia" w:ascii="宋体" w:hAnsi="宋体" w:eastAsia="宋体" w:cs="宋体"/>
          <w:color w:val="auto"/>
          <w:sz w:val="21"/>
          <w:szCs w:val="21"/>
          <w:lang w:val="en-US" w:eastAsia="zh-CN"/>
        </w:rPr>
        <w:t>科普视频作品</w:t>
      </w:r>
      <w:r>
        <w:rPr>
          <w:rFonts w:hint="eastAsia" w:ascii="宋体" w:hAnsi="宋体" w:eastAsia="宋体" w:cs="宋体"/>
          <w:color w:val="auto"/>
          <w:sz w:val="21"/>
          <w:szCs w:val="21"/>
          <w:lang w:val="en-US"/>
        </w:rPr>
        <w:t>、</w:t>
      </w:r>
      <w:r>
        <w:rPr>
          <w:rFonts w:hint="eastAsia" w:ascii="宋体" w:hAnsi="宋体" w:eastAsia="宋体" w:cs="宋体"/>
          <w:color w:val="auto"/>
          <w:sz w:val="21"/>
          <w:szCs w:val="21"/>
          <w:lang w:val="en-US" w:eastAsia="zh-CN"/>
        </w:rPr>
        <w:t>平面设计、宣传片</w:t>
      </w:r>
      <w:r>
        <w:rPr>
          <w:rFonts w:hint="eastAsia" w:ascii="宋体" w:hAnsi="宋体" w:eastAsia="宋体" w:cs="宋体"/>
          <w:color w:val="auto"/>
          <w:sz w:val="21"/>
          <w:szCs w:val="21"/>
          <w:lang w:val="en-US"/>
        </w:rPr>
        <w:t>及</w:t>
      </w:r>
      <w:r>
        <w:rPr>
          <w:rFonts w:hint="eastAsia" w:ascii="宋体" w:hAnsi="宋体" w:eastAsia="宋体" w:cs="宋体"/>
          <w:color w:val="auto"/>
          <w:sz w:val="21"/>
          <w:szCs w:val="21"/>
          <w:lang w:val="en-US" w:eastAsia="zh-CN"/>
        </w:rPr>
        <w:t>素材留存、活动跟拍</w:t>
      </w:r>
      <w:bookmarkEnd w:id="0"/>
      <w:r>
        <w:rPr>
          <w:rFonts w:hint="eastAsia" w:ascii="宋体" w:hAnsi="宋体" w:eastAsia="宋体" w:cs="宋体"/>
          <w:color w:val="auto"/>
          <w:sz w:val="21"/>
          <w:szCs w:val="21"/>
          <w:lang w:val="en-US" w:eastAsia="zh-CN"/>
        </w:rPr>
        <w:t>等宣传服务</w:t>
      </w:r>
      <w:r>
        <w:rPr>
          <w:rFonts w:hint="eastAsia" w:ascii="宋体" w:hAnsi="宋体" w:eastAsia="宋体" w:cs="宋体"/>
          <w:color w:val="auto"/>
          <w:sz w:val="21"/>
          <w:szCs w:val="21"/>
          <w:lang w:val="en-US"/>
        </w:rPr>
        <w:t>项目</w:t>
      </w:r>
    </w:p>
    <w:p w14:paraId="0B62DE80">
      <w:pPr>
        <w:pStyle w:val="6"/>
        <w:keepNext w:val="0"/>
        <w:keepLines w:val="0"/>
        <w:pageBreakBefore w:val="0"/>
        <w:widowControl w:val="0"/>
        <w:kinsoku/>
        <w:wordWrap/>
        <w:overflowPunct/>
        <w:topLinePunct w:val="0"/>
        <w:bidi w:val="0"/>
        <w:spacing w:line="360" w:lineRule="auto"/>
        <w:ind w:firstLine="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rPr>
        <w:t>（</w:t>
      </w:r>
      <w:r>
        <w:rPr>
          <w:rFonts w:hint="eastAsia" w:ascii="宋体" w:hAnsi="宋体" w:eastAsia="宋体" w:cs="宋体"/>
          <w:b w:val="0"/>
          <w:bCs w:val="0"/>
          <w:color w:val="auto"/>
          <w:sz w:val="21"/>
          <w:szCs w:val="21"/>
          <w:lang w:val="en-US" w:eastAsia="zh-CN"/>
        </w:rPr>
        <w:t>二</w:t>
      </w:r>
      <w:r>
        <w:rPr>
          <w:rFonts w:hint="eastAsia" w:ascii="宋体" w:hAnsi="宋体" w:eastAsia="宋体" w:cs="宋体"/>
          <w:b w:val="0"/>
          <w:bCs w:val="0"/>
          <w:color w:val="auto"/>
          <w:sz w:val="21"/>
          <w:szCs w:val="21"/>
          <w:lang w:val="en-US"/>
        </w:rPr>
        <w:t>）采购项目预（概）算</w:t>
      </w:r>
      <w:r>
        <w:rPr>
          <w:rFonts w:hint="eastAsia" w:ascii="宋体" w:hAnsi="宋体" w:eastAsia="宋体" w:cs="宋体"/>
          <w:b w:val="0"/>
          <w:bCs w:val="0"/>
          <w:color w:val="auto"/>
          <w:sz w:val="21"/>
          <w:szCs w:val="21"/>
          <w:lang w:val="en-US" w:eastAsia="zh-CN"/>
        </w:rPr>
        <w:t>及服务期</w:t>
      </w:r>
    </w:p>
    <w:p w14:paraId="2DDA3339">
      <w:pPr>
        <w:pStyle w:val="6"/>
        <w:keepNext w:val="0"/>
        <w:keepLines w:val="0"/>
        <w:pageBreakBefore w:val="0"/>
        <w:widowControl w:val="0"/>
        <w:kinsoku/>
        <w:wordWrap/>
        <w:overflowPunct/>
        <w:topLinePunct w:val="0"/>
        <w:bidi w:val="0"/>
        <w:spacing w:line="360" w:lineRule="auto"/>
        <w:ind w:firstLine="0"/>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val="en-US"/>
        </w:rPr>
        <w:t>总预（概）算：</w:t>
      </w:r>
      <w:r>
        <w:rPr>
          <w:rFonts w:hint="eastAsia" w:ascii="宋体" w:hAnsi="宋体" w:eastAsia="宋体" w:cs="宋体"/>
          <w:color w:val="auto"/>
          <w:sz w:val="21"/>
          <w:szCs w:val="21"/>
          <w:lang w:val="en-US" w:eastAsia="zh-CN"/>
        </w:rPr>
        <w:t>99000</w:t>
      </w:r>
      <w:r>
        <w:rPr>
          <w:rFonts w:hint="eastAsia" w:ascii="宋体" w:hAnsi="宋体" w:eastAsia="宋体" w:cs="宋体"/>
          <w:color w:val="auto"/>
          <w:sz w:val="21"/>
          <w:szCs w:val="21"/>
          <w:lang w:val="en-US"/>
        </w:rPr>
        <w:t>元。</w:t>
      </w:r>
    </w:p>
    <w:p w14:paraId="173EF465">
      <w:pPr>
        <w:pStyle w:val="6"/>
        <w:keepNext w:val="0"/>
        <w:keepLines w:val="0"/>
        <w:pageBreakBefore w:val="0"/>
        <w:widowControl w:val="0"/>
        <w:kinsoku/>
        <w:wordWrap/>
        <w:overflowPunct/>
        <w:topLinePunct w:val="0"/>
        <w:bidi w:val="0"/>
        <w:spacing w:line="360" w:lineRule="auto"/>
        <w:ind w:firstLine="0"/>
        <w:textAlignment w:val="auto"/>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lang w:val="en-US" w:eastAsia="zh-CN"/>
        </w:rPr>
        <w:t>2.服务期：自合同签订之日起至2025年11月30日</w:t>
      </w:r>
    </w:p>
    <w:p w14:paraId="07792438">
      <w:pPr>
        <w:keepNext w:val="0"/>
        <w:keepLines w:val="0"/>
        <w:pageBreakBefore w:val="0"/>
        <w:widowControl w:val="0"/>
        <w:numPr>
          <w:ilvl w:val="0"/>
          <w:numId w:val="0"/>
        </w:numPr>
        <w:kinsoku/>
        <w:wordWrap/>
        <w:overflowPunct/>
        <w:topLinePunct w:val="0"/>
        <w:bidi w:val="0"/>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kern w:val="2"/>
          <w:sz w:val="21"/>
          <w:szCs w:val="21"/>
          <w:lang w:val="en-US" w:eastAsia="zh-CN" w:bidi="ar-SA"/>
        </w:rPr>
        <w:t>三、</w:t>
      </w:r>
      <w:r>
        <w:rPr>
          <w:rFonts w:hint="eastAsia" w:ascii="宋体" w:hAnsi="宋体" w:eastAsia="宋体" w:cs="宋体"/>
          <w:b w:val="0"/>
          <w:bCs/>
          <w:color w:val="auto"/>
          <w:sz w:val="21"/>
          <w:szCs w:val="21"/>
        </w:rPr>
        <w:t>资格要求</w:t>
      </w:r>
    </w:p>
    <w:p w14:paraId="692C1500">
      <w:pPr>
        <w:pStyle w:val="6"/>
        <w:keepNext w:val="0"/>
        <w:keepLines w:val="0"/>
        <w:pageBreakBefore w:val="0"/>
        <w:widowControl w:val="0"/>
        <w:numPr>
          <w:ilvl w:val="-1"/>
          <w:numId w:val="0"/>
        </w:numPr>
        <w:kinsoku/>
        <w:wordWrap/>
        <w:overflowPunct/>
        <w:topLinePunct w:val="0"/>
        <w:bidi w:val="0"/>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投标人具备《中华人民共和国政府采购法》第二十二条第一款规定的条件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提供以下材料：</w:t>
      </w:r>
    </w:p>
    <w:p w14:paraId="30A598E2">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营业执照副本或事业单位法人证书或民办非企业单位登记证书或社会团体法人登记证书或基金会法人登记证书扫描件或复印件并加盖公章。</w:t>
      </w:r>
    </w:p>
    <w:p w14:paraId="100CB176">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财务状况报告等相关材料：提供202</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年度经第三方会计师事务所审计的企业财务报告扫描件（应包括完整的审计报告和财务报表）或提交投标文件截止日期前近6个月内银行出具的资信证明复印件并加盖公章。</w:t>
      </w:r>
    </w:p>
    <w:p w14:paraId="31480691">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202</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年至少1个月的依法缴纳税收和社会保险费的相关证明材料扫描件或复印件并加盖公章。</w:t>
      </w:r>
    </w:p>
    <w:p w14:paraId="3C508120">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投标截止日前3年在经营活动中没有重大违法记录的书面声明（截至开标日成立不足3年的投标人可提供自成立以来无重大违法记录的书面声明）并加盖公章。</w:t>
      </w:r>
    </w:p>
    <w:p w14:paraId="53D0C8AA">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按照《财政部关于在政府采购活动中查询及使用信用记录有关问题的通知》（财库〔2016〕125号）的要求，采购代理机构于投标文件开启当日投标文件开启时间之前打印的信用中国、中国政府采购网的查询结果信用记录未列入失信被执行人、重大税收违法案件当事人名单、政府采购严重违法失信行为记录名单。</w:t>
      </w:r>
    </w:p>
    <w:p w14:paraId="57AEDD59">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投标人由法定代表人或其授权的委托代理人参加投标。投标人若为法定代表人参加投标，须提供法定代表人资格证明书及身份证明原件或加盖公章的复印件（如身份证、护照、驾驶证等）；投标人若为被授权的委托代理人参加投标，须提供法定代表人资格证明书、法人代表授权书（须由法定代表人签字或盖章）和被授权人身份证明原件或加盖公章的复印件（如身份证、护照、驾驶证等）。</w:t>
      </w:r>
    </w:p>
    <w:p w14:paraId="32A6EF17">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本项目不接受联合体参加投标，投标人须提供《非联合体投标声明函》并加盖公章。</w:t>
      </w:r>
    </w:p>
    <w:p w14:paraId="7EE76270">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四、供应商能力要求</w:t>
      </w:r>
    </w:p>
    <w:p w14:paraId="4E9D5B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1.行业经验：</w:t>
      </w:r>
    </w:p>
    <w:p w14:paraId="525147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（1）要求</w:t>
      </w:r>
      <w:r>
        <w:rPr>
          <w:rFonts w:hint="eastAsia" w:ascii="宋体" w:hAnsi="宋体" w:eastAsia="宋体" w:cs="宋体"/>
          <w:color w:val="auto"/>
          <w:kern w:val="2"/>
          <w:sz w:val="21"/>
          <w:szCs w:val="21"/>
          <w:lang w:val="zh-CN" w:eastAsia="zh-CN" w:bidi="ar-SA"/>
        </w:rPr>
        <w:t>近3年（2022年1月至今）至少完成2个医疗健康类宣传视频案例（提供合同关键页及成片链接证明）</w:t>
      </w:r>
      <w:r>
        <w:rPr>
          <w:rFonts w:hint="eastAsia" w:ascii="宋体" w:hAnsi="宋体" w:eastAsia="宋体" w:cs="宋体"/>
          <w:color w:val="auto"/>
          <w:kern w:val="2"/>
          <w:sz w:val="21"/>
          <w:szCs w:val="21"/>
          <w:lang w:val="en-US" w:eastAsia="zh-CN" w:bidi="ar-SA"/>
        </w:rPr>
        <w:t>；</w:t>
      </w:r>
    </w:p>
    <w:p w14:paraId="3A4CE6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（2）要求组建专项服务人员团队要求不少于3人；</w:t>
      </w:r>
    </w:p>
    <w:p w14:paraId="2E0352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（3）拥有与三甲医院、医学院校、疾控中心、大型医药企业或权威健康媒体的合作经验且可以完成采编播一体化视频录制全流程；</w:t>
      </w:r>
    </w:p>
    <w:p w14:paraId="2D030E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（4）团队内具备不少于2人持有国家新闻出版署颁发的“新闻记者证”；</w:t>
      </w:r>
    </w:p>
    <w:p w14:paraId="654D50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（5）能够辅助科室对优质视频作品、消息新闻等多种形式宣传作品择优推荐于区级媒体平台刊发者。（包括但不限于</w:t>
      </w:r>
      <w:r>
        <w:rPr>
          <w:rFonts w:hint="eastAsia" w:ascii="宋体" w:hAnsi="宋体" w:eastAsia="宋体" w:cs="宋体"/>
          <w:color w:val="auto"/>
          <w:kern w:val="2"/>
          <w:sz w:val="21"/>
          <w:szCs w:val="21"/>
          <w:lang w:val="zh-CN" w:eastAsia="zh-CN" w:bidi="ar-SA"/>
        </w:rPr>
        <w:t>津滨海客户端、“学习强国”滨海新区学习平台、滨海发布微信微博、</w:t>
      </w:r>
      <w:r>
        <w:rPr>
          <w:rFonts w:hint="eastAsia" w:ascii="宋体" w:hAnsi="宋体" w:eastAsia="宋体" w:cs="宋体"/>
          <w:color w:val="auto"/>
          <w:kern w:val="2"/>
          <w:sz w:val="21"/>
          <w:szCs w:val="21"/>
          <w:lang w:val="en-US" w:eastAsia="zh-CN" w:bidi="ar-SA"/>
        </w:rPr>
        <w:t>津滨网、滨城时报等多家区域官方媒体平台）</w:t>
      </w:r>
    </w:p>
    <w:p w14:paraId="3E596D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2.专业合规:</w:t>
      </w:r>
    </w:p>
    <w:p w14:paraId="3E269C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（1）深刻理解并承诺遵守国家关于医疗卫生信息传播、广告宣传、互联网视听节目等相关法律法规（如《广告法》、《医疗广告管理办法》、《互联网视听节目服务管理规定》等）；</w:t>
      </w:r>
    </w:p>
    <w:p w14:paraId="7FA1FF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（2）具备处理医学伦理、患者隐私保护等敏感问题的意识和规范流程，需签订“保密承诺书”</w:t>
      </w:r>
      <w:r>
        <w:rPr>
          <w:rFonts w:hint="eastAsia" w:ascii="宋体" w:hAnsi="宋体" w:eastAsia="宋体" w:cs="宋体"/>
          <w:sz w:val="21"/>
          <w:szCs w:val="21"/>
          <w:lang w:eastAsia="zh-CN"/>
        </w:rPr>
        <w:t>；</w:t>
      </w:r>
    </w:p>
    <w:p w14:paraId="62F6AB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（3）能够确保所有医学内容科学、准确、权威，并具备完善的内容审核机制（通常要求最终内容需经我方科室指定专家审核确认）。</w:t>
      </w:r>
    </w:p>
    <w:p w14:paraId="23199B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3.医学内容理解及转换能力：</w:t>
      </w:r>
    </w:p>
    <w:p w14:paraId="05FDAC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（1）能够基于我方提供的医学核心信息和目标受众，策划出创意新颖、形式生动、逻辑清晰、通俗易懂的科普视频方案；</w:t>
      </w:r>
    </w:p>
    <w:p w14:paraId="216BCF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（2）熟悉不同平台（如微信公众号、视频号、抖音等）的传播特点和内容偏好，能针对性优化策划；</w:t>
      </w:r>
    </w:p>
    <w:p w14:paraId="522ABF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具备快速学习并准确理解复杂医学概念和术语的能力，能与我方医学专家高效沟通协作的能力，确保科学内容的严谨性。能将抽象医学原理、病理机制、操作流程等有效转化为直观的视觉语言（如动画、图表、情景再现等）。</w:t>
      </w:r>
    </w:p>
    <w:p w14:paraId="25589D48">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color w:val="auto"/>
          <w:sz w:val="21"/>
          <w:szCs w:val="21"/>
        </w:rPr>
      </w:pPr>
      <w:r>
        <w:rPr>
          <w:rFonts w:hint="eastAsia" w:ascii="宋体" w:hAnsi="宋体" w:eastAsia="宋体" w:cs="宋体"/>
          <w:b/>
          <w:bCs/>
          <w:color w:val="auto"/>
          <w:kern w:val="2"/>
          <w:sz w:val="21"/>
          <w:szCs w:val="21"/>
          <w:lang w:val="en-US" w:eastAsia="zh-CN" w:bidi="ar-SA"/>
        </w:rPr>
        <w:t>4.视频制作技术能力：</w:t>
      </w:r>
      <w:r>
        <w:rPr>
          <w:rFonts w:hint="eastAsia" w:ascii="宋体" w:hAnsi="宋体" w:eastAsia="宋体" w:cs="宋体"/>
          <w:color w:val="auto"/>
          <w:kern w:val="2"/>
          <w:sz w:val="21"/>
          <w:szCs w:val="21"/>
          <w:lang w:val="en-US" w:eastAsia="zh-CN" w:bidi="ar-SA"/>
        </w:rPr>
        <w:t>拥有专业高清/4K拍摄设备（摄影机、镜头组、灯光系统、录音设备等）；具备访谈、手术/操作演示（需严格遵守无菌等规范）、动画合成、外景等多种类型视频的拍摄经验和技术；擅长营造符合医学专业性和科普亲和力的画面风格与影调（具体要求见下表）。</w:t>
      </w:r>
    </w:p>
    <w:p w14:paraId="50FD4932">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五</w:t>
      </w:r>
      <w:r>
        <w:rPr>
          <w:rFonts w:hint="eastAsia" w:ascii="宋体" w:hAnsi="宋体" w:eastAsia="宋体" w:cs="宋体"/>
          <w:b w:val="0"/>
          <w:bCs/>
          <w:color w:val="auto"/>
          <w:sz w:val="21"/>
          <w:szCs w:val="21"/>
        </w:rPr>
        <w:t>、技术要求</w:t>
      </w:r>
    </w:p>
    <w:p w14:paraId="0ECA0F63">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eastAsia="zh-CN" w:bidi="ar-SA"/>
        </w:rPr>
        <w:t>1.投标人须承诺所提供的服务、人员、设备及耗材符合国家相关强制性规定。采购人有权要求投标人出具所提供的服务、人员、设备及耗材符合上述规定的证明文件。</w:t>
      </w:r>
    </w:p>
    <w:p w14:paraId="2361D2A3">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eastAsia="zh-CN" w:bidi="ar-SA"/>
        </w:rPr>
        <w:t>2.根据《中华人民共和国劳动合同法》及其他法律法规的要求，本项目中标人须与实施管理服务人员签订劳动合同，按国家及天津市相关政策规定，支付工资、加班费和福利费、缴纳社会保险及住房公积金等。中标人自负盈亏及独立承担一切与服务合同有关的相关责任。</w:t>
      </w:r>
    </w:p>
    <w:p w14:paraId="121A284D">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eastAsia="zh-CN" w:bidi="ar-SA"/>
        </w:rPr>
        <w:t>3.投标人为本项目配备的技术人员须具备国家相关部门颁发的在有效期内的资质证书，项目实施过程中保证持证上岗。投标人须提供本项目相关技术人员职称、认证资格及参与项目经历。</w:t>
      </w:r>
    </w:p>
    <w:p w14:paraId="4149E88E">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eastAsia="zh-CN" w:bidi="ar-SA"/>
        </w:rPr>
        <w:t>4.本项目不接受赠品或者与采购无关的其他商品、服务，投标人亦不得以采购人要求实施前述馈赠、回扣等行为。</w:t>
      </w:r>
    </w:p>
    <w:p w14:paraId="68432D00">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eastAsia="zh-CN" w:bidi="ar-SA"/>
        </w:rPr>
        <w:t>5.投标人按照项目需求中的要求，须在投标文件中对所投项目的现场案例展示、方案创意和构思、拟投入专业设备、成果质量保证措施、内部管理制度、售后服务方案、紧急突发事件处理方案、与采购人配合、沟通方案、保密管理方案等，提供详细的技术文件。</w:t>
      </w:r>
    </w:p>
    <w:p w14:paraId="071983F9">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eastAsia="zh-CN" w:bidi="ar-SA"/>
        </w:rPr>
        <w:br w:type="page"/>
      </w:r>
    </w:p>
    <w:p w14:paraId="21EA552C">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kern w:val="2"/>
          <w:sz w:val="21"/>
          <w:szCs w:val="21"/>
          <w:lang w:val="zh-CN" w:eastAsia="zh-CN" w:bidi="ar-SA"/>
        </w:rPr>
        <w:sectPr>
          <w:pgSz w:w="11906" w:h="16838"/>
          <w:pgMar w:top="1440" w:right="1803" w:bottom="1440" w:left="1803" w:header="851" w:footer="992" w:gutter="0"/>
          <w:cols w:space="0" w:num="1"/>
          <w:rtlGutter w:val="0"/>
          <w:docGrid w:type="lines" w:linePitch="312" w:charSpace="0"/>
        </w:sectPr>
      </w:pPr>
    </w:p>
    <w:p w14:paraId="50B03573">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eastAsia="zh-CN" w:bidi="ar-SA"/>
        </w:rPr>
        <w:t>6.具体需求详见</w:t>
      </w:r>
      <w:r>
        <w:rPr>
          <w:rFonts w:hint="eastAsia" w:ascii="宋体" w:hAnsi="宋体" w:eastAsia="宋体" w:cs="宋体"/>
          <w:color w:val="auto"/>
          <w:kern w:val="2"/>
          <w:sz w:val="21"/>
          <w:szCs w:val="21"/>
          <w:lang w:val="en-US" w:eastAsia="zh-CN" w:bidi="ar-SA"/>
        </w:rPr>
        <w:t>下表</w:t>
      </w:r>
      <w:r>
        <w:rPr>
          <w:rFonts w:hint="eastAsia" w:ascii="宋体" w:hAnsi="宋体" w:eastAsia="宋体" w:cs="宋体"/>
          <w:color w:val="auto"/>
          <w:kern w:val="2"/>
          <w:sz w:val="21"/>
          <w:szCs w:val="21"/>
          <w:lang w:val="zh-CN" w:eastAsia="zh-CN" w:bidi="ar-SA"/>
        </w:rPr>
        <w:t>：</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942"/>
        <w:gridCol w:w="947"/>
        <w:gridCol w:w="947"/>
        <w:gridCol w:w="2104"/>
        <w:gridCol w:w="2688"/>
        <w:gridCol w:w="4599"/>
      </w:tblGrid>
      <w:tr w14:paraId="3F096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334" w:type="pct"/>
            <w:vAlign w:val="center"/>
          </w:tcPr>
          <w:p w14:paraId="125483C3">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85" w:type="pct"/>
            <w:vAlign w:val="center"/>
          </w:tcPr>
          <w:p w14:paraId="0465DDAE">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标的名称</w:t>
            </w:r>
          </w:p>
        </w:tc>
        <w:tc>
          <w:tcPr>
            <w:tcW w:w="334" w:type="pct"/>
            <w:vAlign w:val="center"/>
          </w:tcPr>
          <w:p w14:paraId="32250D7F">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计量</w:t>
            </w:r>
          </w:p>
          <w:p w14:paraId="76859672">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334" w:type="pct"/>
            <w:vAlign w:val="center"/>
          </w:tcPr>
          <w:p w14:paraId="2C816A4C">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742" w:type="pct"/>
            <w:vAlign w:val="center"/>
          </w:tcPr>
          <w:p w14:paraId="2B080F21">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限高价</w:t>
            </w:r>
            <w:r>
              <w:rPr>
                <w:rFonts w:hint="eastAsia" w:ascii="宋体" w:hAnsi="宋体" w:cs="宋体"/>
                <w:color w:val="auto"/>
                <w:sz w:val="21"/>
                <w:szCs w:val="21"/>
                <w:highlight w:val="none"/>
                <w:lang w:val="en-US" w:eastAsia="zh-CN"/>
              </w:rPr>
              <w:t>（每项）</w:t>
            </w:r>
          </w:p>
        </w:tc>
        <w:tc>
          <w:tcPr>
            <w:tcW w:w="948" w:type="pct"/>
            <w:vAlign w:val="center"/>
          </w:tcPr>
          <w:p w14:paraId="50DF4ADD">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宣传内容</w:t>
            </w:r>
          </w:p>
        </w:tc>
        <w:tc>
          <w:tcPr>
            <w:tcW w:w="1622" w:type="pct"/>
            <w:shd w:val="clear" w:color="auto" w:fill="auto"/>
            <w:vAlign w:val="center"/>
          </w:tcPr>
          <w:p w14:paraId="1C0A0336">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规格要求</w:t>
            </w:r>
          </w:p>
        </w:tc>
      </w:tr>
      <w:tr w14:paraId="242A2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34" w:type="pct"/>
            <w:vAlign w:val="center"/>
          </w:tcPr>
          <w:p w14:paraId="142624D3">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85" w:type="pct"/>
            <w:vAlign w:val="center"/>
          </w:tcPr>
          <w:p w14:paraId="4D8AD1BF">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老年慢病科普视频作品</w:t>
            </w:r>
          </w:p>
        </w:tc>
        <w:tc>
          <w:tcPr>
            <w:tcW w:w="334" w:type="pct"/>
            <w:vAlign w:val="center"/>
          </w:tcPr>
          <w:p w14:paraId="6218CE23">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期</w:t>
            </w:r>
          </w:p>
        </w:tc>
        <w:tc>
          <w:tcPr>
            <w:tcW w:w="334" w:type="pct"/>
            <w:vAlign w:val="center"/>
          </w:tcPr>
          <w:p w14:paraId="06B85090">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742" w:type="pct"/>
            <w:vAlign w:val="center"/>
          </w:tcPr>
          <w:p w14:paraId="40054EE4">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12500</w:t>
            </w:r>
            <w:r>
              <w:rPr>
                <w:rFonts w:hint="eastAsia" w:ascii="宋体" w:hAnsi="宋体" w:eastAsia="宋体" w:cs="宋体"/>
                <w:color w:val="auto"/>
                <w:sz w:val="21"/>
                <w:szCs w:val="21"/>
                <w:highlight w:val="none"/>
              </w:rPr>
              <w:t>元</w:t>
            </w:r>
          </w:p>
        </w:tc>
        <w:tc>
          <w:tcPr>
            <w:tcW w:w="948" w:type="pct"/>
            <w:vAlign w:val="center"/>
          </w:tcPr>
          <w:p w14:paraId="53D248D1">
            <w:pPr>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每期3</w:t>
            </w:r>
            <w:r>
              <w:rPr>
                <w:rFonts w:hint="eastAsia" w:ascii="宋体" w:hAnsi="宋体" w:eastAsia="宋体" w:cs="宋体"/>
                <w:color w:val="auto"/>
                <w:sz w:val="21"/>
                <w:szCs w:val="21"/>
                <w:highlight w:val="none"/>
                <w:lang w:val="en-US" w:eastAsia="zh-CN"/>
              </w:rPr>
              <w:t>左右</w:t>
            </w:r>
            <w:r>
              <w:rPr>
                <w:rFonts w:hint="eastAsia" w:ascii="宋体" w:hAnsi="宋体" w:eastAsia="宋体" w:cs="宋体"/>
                <w:color w:val="auto"/>
                <w:sz w:val="21"/>
                <w:szCs w:val="21"/>
                <w:highlight w:val="none"/>
              </w:rPr>
              <w:t>分钟；涵盖老年常见病的</w:t>
            </w:r>
            <w:r>
              <w:rPr>
                <w:rFonts w:hint="eastAsia" w:ascii="宋体" w:hAnsi="宋体" w:eastAsia="宋体" w:cs="宋体"/>
                <w:color w:val="auto"/>
                <w:sz w:val="21"/>
                <w:szCs w:val="21"/>
                <w:highlight w:val="none"/>
                <w:lang w:val="en-US" w:eastAsia="zh-CN"/>
              </w:rPr>
              <w:t>西医治疗及中</w:t>
            </w:r>
            <w:r>
              <w:rPr>
                <w:rFonts w:hint="eastAsia" w:ascii="宋体" w:hAnsi="宋体" w:eastAsia="宋体" w:cs="宋体"/>
                <w:color w:val="auto"/>
                <w:sz w:val="21"/>
                <w:szCs w:val="21"/>
                <w:highlight w:val="none"/>
              </w:rPr>
              <w:t xml:space="preserve">医防治等内容  </w:t>
            </w:r>
          </w:p>
        </w:tc>
        <w:tc>
          <w:tcPr>
            <w:tcW w:w="1622" w:type="pct"/>
            <w:vMerge w:val="restart"/>
            <w:shd w:val="clear" w:color="auto" w:fill="auto"/>
            <w:vAlign w:val="center"/>
          </w:tcPr>
          <w:p w14:paraId="77AB3784">
            <w:pPr>
              <w:keepNext w:val="0"/>
              <w:keepLines w:val="0"/>
              <w:pageBreakBefore w:val="0"/>
              <w:widowControl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视频类：</w:t>
            </w:r>
          </w:p>
          <w:p w14:paraId="08A93B7B">
            <w:pPr>
              <w:keepNext w:val="0"/>
              <w:keepLines w:val="0"/>
              <w:pageBreakBefore w:val="0"/>
              <w:widowControl w:val="0"/>
              <w:kinsoku/>
              <w:wordWrap/>
              <w:overflowPunct/>
              <w:topLinePunct w:val="0"/>
              <w:bidi w:val="0"/>
              <w:adjustRightInd w:val="0"/>
              <w:snapToGrid w:val="0"/>
              <w:spacing w:line="360" w:lineRule="auto"/>
              <w:ind w:firstLine="0" w:firstLineChars="0"/>
              <w:jc w:val="left"/>
              <w:textAlignment w:val="auto"/>
              <w:rPr>
                <w:rStyle w:val="7"/>
                <w:rFonts w:hint="eastAsia" w:ascii="宋体" w:hAnsi="宋体" w:eastAsia="宋体" w:cs="宋体"/>
                <w:color w:val="auto"/>
                <w:sz w:val="21"/>
                <w:szCs w:val="21"/>
                <w:highlight w:val="none"/>
                <w:lang w:val="en-US" w:eastAsia="zh-CN" w:bidi="ar"/>
              </w:rPr>
            </w:pPr>
            <w:r>
              <w:rPr>
                <w:rStyle w:val="7"/>
                <w:rFonts w:hint="eastAsia" w:ascii="宋体" w:hAnsi="宋体" w:eastAsia="宋体" w:cs="宋体"/>
                <w:color w:val="auto"/>
                <w:sz w:val="21"/>
                <w:szCs w:val="21"/>
                <w:highlight w:val="none"/>
                <w:lang w:val="en-US" w:eastAsia="zh-CN" w:bidi="ar"/>
              </w:rPr>
              <w:t>1.分辨率：1920*1080；</w:t>
            </w:r>
            <w:r>
              <w:rPr>
                <w:rStyle w:val="7"/>
                <w:rFonts w:hint="eastAsia" w:ascii="宋体" w:hAnsi="宋体" w:eastAsia="宋体" w:cs="宋体"/>
                <w:color w:val="auto"/>
                <w:sz w:val="21"/>
                <w:szCs w:val="21"/>
                <w:highlight w:val="none"/>
                <w:lang w:val="en-US" w:eastAsia="zh-CN" w:bidi="ar"/>
              </w:rPr>
              <w:br w:type="textWrapping"/>
            </w:r>
            <w:r>
              <w:rPr>
                <w:rStyle w:val="7"/>
                <w:rFonts w:hint="eastAsia" w:ascii="宋体" w:hAnsi="宋体" w:eastAsia="宋体" w:cs="宋体"/>
                <w:color w:val="auto"/>
                <w:sz w:val="21"/>
                <w:szCs w:val="21"/>
                <w:highlight w:val="none"/>
                <w:lang w:val="en-US" w:eastAsia="zh-CN" w:bidi="ar"/>
              </w:rPr>
              <w:t>2.帧数：25/30/60；</w:t>
            </w:r>
            <w:r>
              <w:rPr>
                <w:rStyle w:val="7"/>
                <w:rFonts w:hint="eastAsia" w:ascii="宋体" w:hAnsi="宋体" w:eastAsia="宋体" w:cs="宋体"/>
                <w:color w:val="auto"/>
                <w:sz w:val="21"/>
                <w:szCs w:val="21"/>
                <w:highlight w:val="none"/>
                <w:lang w:val="en-US" w:eastAsia="zh-CN" w:bidi="ar"/>
              </w:rPr>
              <w:br w:type="textWrapping"/>
            </w:r>
            <w:r>
              <w:rPr>
                <w:rStyle w:val="7"/>
                <w:rFonts w:hint="eastAsia" w:ascii="宋体" w:hAnsi="宋体" w:eastAsia="宋体" w:cs="宋体"/>
                <w:color w:val="auto"/>
                <w:sz w:val="21"/>
                <w:szCs w:val="21"/>
                <w:highlight w:val="none"/>
                <w:lang w:val="en-US" w:eastAsia="zh-CN" w:bidi="ar"/>
              </w:rPr>
              <w:t>3.码率：固定码率</w:t>
            </w:r>
          </w:p>
          <w:p w14:paraId="549E9A75">
            <w:pPr>
              <w:keepNext w:val="0"/>
              <w:keepLines w:val="0"/>
              <w:pageBreakBefore w:val="0"/>
              <w:widowControl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kern w:val="2"/>
                <w:sz w:val="21"/>
                <w:szCs w:val="21"/>
                <w:highlight w:val="none"/>
                <w:lang w:val="en-US" w:eastAsia="zh-CN" w:bidi="ar-SA"/>
              </w:rPr>
            </w:pPr>
            <w:r>
              <w:rPr>
                <w:rStyle w:val="7"/>
                <w:rFonts w:hint="eastAsia" w:ascii="宋体" w:hAnsi="宋体" w:eastAsia="宋体" w:cs="宋体"/>
                <w:color w:val="auto"/>
                <w:sz w:val="21"/>
                <w:szCs w:val="21"/>
                <w:highlight w:val="none"/>
                <w:lang w:val="en-US" w:eastAsia="zh-CN" w:bidi="ar"/>
              </w:rPr>
              <w:t>4.音频速率：384kbps</w:t>
            </w:r>
            <w:r>
              <w:rPr>
                <w:rStyle w:val="7"/>
                <w:rFonts w:hint="eastAsia" w:ascii="宋体" w:hAnsi="宋体" w:eastAsia="宋体" w:cs="宋体"/>
                <w:color w:val="auto"/>
                <w:sz w:val="21"/>
                <w:szCs w:val="21"/>
                <w:highlight w:val="none"/>
                <w:lang w:val="en-US" w:eastAsia="zh-CN" w:bidi="ar"/>
              </w:rPr>
              <w:br w:type="textWrapping"/>
            </w:r>
            <w:r>
              <w:rPr>
                <w:rStyle w:val="7"/>
                <w:rFonts w:hint="eastAsia" w:ascii="宋体" w:hAnsi="宋体" w:eastAsia="宋体" w:cs="宋体"/>
                <w:color w:val="auto"/>
                <w:sz w:val="21"/>
                <w:szCs w:val="21"/>
                <w:highlight w:val="none"/>
                <w:lang w:val="en-US" w:eastAsia="zh-CN" w:bidi="ar"/>
              </w:rPr>
              <w:t>5.音频采样：立体声48khz</w:t>
            </w:r>
            <w:r>
              <w:rPr>
                <w:rStyle w:val="7"/>
                <w:rFonts w:hint="eastAsia" w:ascii="宋体" w:hAnsi="宋体" w:eastAsia="宋体" w:cs="宋体"/>
                <w:color w:val="auto"/>
                <w:sz w:val="21"/>
                <w:szCs w:val="21"/>
                <w:highlight w:val="none"/>
                <w:lang w:val="en-US" w:eastAsia="zh-CN" w:bidi="ar"/>
              </w:rPr>
              <w:br w:type="textWrapping"/>
            </w:r>
            <w:r>
              <w:rPr>
                <w:rStyle w:val="7"/>
                <w:rFonts w:hint="eastAsia" w:ascii="宋体" w:hAnsi="宋体" w:eastAsia="宋体" w:cs="宋体"/>
                <w:color w:val="auto"/>
                <w:sz w:val="21"/>
                <w:szCs w:val="21"/>
                <w:highlight w:val="none"/>
                <w:lang w:val="en-US" w:eastAsia="zh-CN" w:bidi="ar"/>
              </w:rPr>
              <w:t>6.文件格式：AVI、MOV或MP4格式，随科室要求调整格式</w:t>
            </w:r>
          </w:p>
        </w:tc>
      </w:tr>
      <w:tr w14:paraId="7D5CC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34" w:type="pct"/>
            <w:vAlign w:val="center"/>
          </w:tcPr>
          <w:p w14:paraId="2C3C01C4">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685" w:type="pct"/>
            <w:vAlign w:val="center"/>
          </w:tcPr>
          <w:p w14:paraId="2F490E28">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中医治疗（教学视频）</w:t>
            </w:r>
          </w:p>
        </w:tc>
        <w:tc>
          <w:tcPr>
            <w:tcW w:w="334" w:type="pct"/>
            <w:vAlign w:val="center"/>
          </w:tcPr>
          <w:p w14:paraId="3B505A3B">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期</w:t>
            </w:r>
          </w:p>
        </w:tc>
        <w:tc>
          <w:tcPr>
            <w:tcW w:w="334" w:type="pct"/>
            <w:vAlign w:val="center"/>
          </w:tcPr>
          <w:p w14:paraId="72EAF288">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42" w:type="pct"/>
            <w:vAlign w:val="center"/>
          </w:tcPr>
          <w:p w14:paraId="3A67E5A4">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5000元</w:t>
            </w:r>
          </w:p>
        </w:tc>
        <w:tc>
          <w:tcPr>
            <w:tcW w:w="948" w:type="pct"/>
            <w:vAlign w:val="center"/>
          </w:tcPr>
          <w:p w14:paraId="6A62C297">
            <w:pPr>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每期3</w:t>
            </w:r>
            <w:r>
              <w:rPr>
                <w:rFonts w:hint="eastAsia" w:ascii="宋体" w:hAnsi="宋体" w:eastAsia="宋体" w:cs="宋体"/>
                <w:color w:val="auto"/>
                <w:sz w:val="21"/>
                <w:szCs w:val="21"/>
                <w:highlight w:val="none"/>
                <w:lang w:val="en-US" w:eastAsia="zh-CN"/>
              </w:rPr>
              <w:t>左右</w:t>
            </w:r>
            <w:r>
              <w:rPr>
                <w:rFonts w:hint="eastAsia" w:ascii="宋体" w:hAnsi="宋体" w:eastAsia="宋体" w:cs="宋体"/>
                <w:color w:val="auto"/>
                <w:sz w:val="21"/>
                <w:szCs w:val="21"/>
                <w:highlight w:val="none"/>
              </w:rPr>
              <w:t>分钟；涵盖老年</w:t>
            </w:r>
            <w:r>
              <w:rPr>
                <w:rFonts w:hint="eastAsia" w:ascii="宋体" w:hAnsi="宋体" w:eastAsia="宋体" w:cs="宋体"/>
                <w:color w:val="auto"/>
                <w:sz w:val="21"/>
                <w:szCs w:val="21"/>
                <w:highlight w:val="none"/>
                <w:lang w:val="en-US" w:eastAsia="zh-CN"/>
              </w:rPr>
              <w:t>科中医治疗操作全过程</w:t>
            </w:r>
            <w:r>
              <w:rPr>
                <w:rFonts w:hint="eastAsia" w:ascii="宋体" w:hAnsi="宋体" w:eastAsia="宋体" w:cs="宋体"/>
                <w:color w:val="auto"/>
                <w:sz w:val="21"/>
                <w:szCs w:val="21"/>
                <w:highlight w:val="none"/>
              </w:rPr>
              <w:t xml:space="preserve">  </w:t>
            </w:r>
          </w:p>
        </w:tc>
        <w:tc>
          <w:tcPr>
            <w:tcW w:w="1622" w:type="pct"/>
            <w:vMerge w:val="continue"/>
            <w:shd w:val="clear" w:color="auto" w:fill="auto"/>
            <w:vAlign w:val="center"/>
          </w:tcPr>
          <w:p w14:paraId="6ECA6363">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p>
        </w:tc>
      </w:tr>
      <w:tr w14:paraId="09EC5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34" w:type="pct"/>
            <w:vAlign w:val="center"/>
          </w:tcPr>
          <w:p w14:paraId="07600C7C">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685" w:type="pct"/>
            <w:vAlign w:val="center"/>
          </w:tcPr>
          <w:p w14:paraId="035555B4">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老年居家护理科普视频</w:t>
            </w:r>
          </w:p>
        </w:tc>
        <w:tc>
          <w:tcPr>
            <w:tcW w:w="334" w:type="pct"/>
            <w:vAlign w:val="center"/>
          </w:tcPr>
          <w:p w14:paraId="1021532F">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期</w:t>
            </w:r>
          </w:p>
        </w:tc>
        <w:tc>
          <w:tcPr>
            <w:tcW w:w="334" w:type="pct"/>
            <w:vAlign w:val="center"/>
          </w:tcPr>
          <w:p w14:paraId="42CC4E9A">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42" w:type="pct"/>
            <w:vAlign w:val="center"/>
          </w:tcPr>
          <w:p w14:paraId="2358E8B4">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5000元</w:t>
            </w:r>
          </w:p>
        </w:tc>
        <w:tc>
          <w:tcPr>
            <w:tcW w:w="948" w:type="pct"/>
            <w:vAlign w:val="center"/>
          </w:tcPr>
          <w:p w14:paraId="723BDBFD">
            <w:pPr>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每期3</w:t>
            </w:r>
            <w:r>
              <w:rPr>
                <w:rFonts w:hint="eastAsia" w:ascii="宋体" w:hAnsi="宋体" w:eastAsia="宋体" w:cs="宋体"/>
                <w:color w:val="auto"/>
                <w:sz w:val="21"/>
                <w:szCs w:val="21"/>
                <w:highlight w:val="none"/>
                <w:lang w:val="en-US" w:eastAsia="zh-CN"/>
              </w:rPr>
              <w:t>左右</w:t>
            </w:r>
            <w:r>
              <w:rPr>
                <w:rFonts w:hint="eastAsia" w:ascii="宋体" w:hAnsi="宋体" w:eastAsia="宋体" w:cs="宋体"/>
                <w:color w:val="auto"/>
                <w:sz w:val="21"/>
                <w:szCs w:val="21"/>
                <w:highlight w:val="none"/>
              </w:rPr>
              <w:t>分钟；涵盖老年</w:t>
            </w:r>
            <w:r>
              <w:rPr>
                <w:rFonts w:hint="eastAsia" w:ascii="宋体" w:hAnsi="宋体" w:eastAsia="宋体" w:cs="宋体"/>
                <w:color w:val="auto"/>
                <w:sz w:val="21"/>
                <w:szCs w:val="21"/>
                <w:highlight w:val="none"/>
                <w:lang w:val="en-US" w:eastAsia="zh-CN"/>
              </w:rPr>
              <w:t>居家护理等内容</w:t>
            </w:r>
          </w:p>
        </w:tc>
        <w:tc>
          <w:tcPr>
            <w:tcW w:w="1622" w:type="pct"/>
            <w:vMerge w:val="continue"/>
            <w:shd w:val="clear" w:color="auto" w:fill="auto"/>
            <w:vAlign w:val="center"/>
          </w:tcPr>
          <w:p w14:paraId="6BEB3A94">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p>
        </w:tc>
      </w:tr>
      <w:tr w14:paraId="6C6AA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34" w:type="pct"/>
            <w:vAlign w:val="center"/>
          </w:tcPr>
          <w:p w14:paraId="41B8F120">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685" w:type="pct"/>
            <w:vAlign w:val="center"/>
          </w:tcPr>
          <w:p w14:paraId="3FF32AE2">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主题日平面设计</w:t>
            </w:r>
          </w:p>
        </w:tc>
        <w:tc>
          <w:tcPr>
            <w:tcW w:w="334" w:type="pct"/>
            <w:vAlign w:val="center"/>
          </w:tcPr>
          <w:p w14:paraId="6AE604D7">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期</w:t>
            </w:r>
          </w:p>
        </w:tc>
        <w:tc>
          <w:tcPr>
            <w:tcW w:w="334" w:type="pct"/>
            <w:vAlign w:val="center"/>
          </w:tcPr>
          <w:p w14:paraId="0213F202">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742" w:type="pct"/>
            <w:vAlign w:val="center"/>
          </w:tcPr>
          <w:p w14:paraId="08D8BEB7">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3000元</w:t>
            </w:r>
          </w:p>
        </w:tc>
        <w:tc>
          <w:tcPr>
            <w:tcW w:w="948" w:type="pct"/>
            <w:vAlign w:val="center"/>
          </w:tcPr>
          <w:p w14:paraId="3BA3D602">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15个疾病日</w:t>
            </w:r>
          </w:p>
        </w:tc>
        <w:tc>
          <w:tcPr>
            <w:tcW w:w="1622" w:type="pct"/>
            <w:vMerge w:val="restart"/>
            <w:shd w:val="clear" w:color="auto" w:fill="auto"/>
            <w:vAlign w:val="center"/>
          </w:tcPr>
          <w:p w14:paraId="5B20C001">
            <w:pPr>
              <w:keepNext w:val="0"/>
              <w:keepLines w:val="0"/>
              <w:pageBreakBefore w:val="0"/>
              <w:widowControl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平面类：</w:t>
            </w:r>
            <w:r>
              <w:rPr>
                <w:rFonts w:hint="eastAsia" w:ascii="宋体" w:hAnsi="宋体" w:eastAsia="宋体" w:cs="宋体"/>
                <w:i w:val="0"/>
                <w:iCs w:val="0"/>
                <w:color w:val="auto"/>
                <w:kern w:val="0"/>
                <w:sz w:val="21"/>
                <w:szCs w:val="21"/>
                <w:highlight w:val="none"/>
                <w:u w:val="none"/>
                <w:lang w:val="en-US" w:eastAsia="zh-CN" w:bidi="ar"/>
              </w:rPr>
              <w:t>照片需要精修，符合科室要求。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一线品牌专业相机，大光圈50定焦头拍摄，格式raw和jpg双记录，像素3000万以上</w:t>
            </w:r>
          </w:p>
        </w:tc>
      </w:tr>
      <w:tr w14:paraId="09084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34" w:type="pct"/>
            <w:vAlign w:val="center"/>
          </w:tcPr>
          <w:p w14:paraId="24F626EB">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685" w:type="pct"/>
            <w:vAlign w:val="center"/>
          </w:tcPr>
          <w:p w14:paraId="030EEB6A">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素材留存</w:t>
            </w:r>
          </w:p>
        </w:tc>
        <w:tc>
          <w:tcPr>
            <w:tcW w:w="334" w:type="pct"/>
            <w:vAlign w:val="center"/>
          </w:tcPr>
          <w:p w14:paraId="6B3F3759">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c>
          <w:tcPr>
            <w:tcW w:w="334" w:type="pct"/>
            <w:vAlign w:val="center"/>
          </w:tcPr>
          <w:p w14:paraId="61EBDB77">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42" w:type="pct"/>
            <w:vAlign w:val="center"/>
          </w:tcPr>
          <w:p w14:paraId="3BB97021">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3000元</w:t>
            </w:r>
          </w:p>
        </w:tc>
        <w:tc>
          <w:tcPr>
            <w:tcW w:w="948" w:type="pct"/>
            <w:vAlign w:val="center"/>
          </w:tcPr>
          <w:p w14:paraId="427B4E38">
            <w:pPr>
              <w:keepNext w:val="0"/>
              <w:keepLines w:val="0"/>
              <w:pageBreakBefore w:val="0"/>
              <w:widowControl w:val="0"/>
              <w:numPr>
                <w:ilvl w:val="0"/>
                <w:numId w:val="1"/>
              </w:numPr>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全科医护人员证件照及个人特写及全科合影</w:t>
            </w:r>
          </w:p>
          <w:p w14:paraId="268CAB53">
            <w:pPr>
              <w:keepNext w:val="0"/>
              <w:keepLines w:val="0"/>
              <w:pageBreakBefore w:val="0"/>
              <w:widowControl w:val="0"/>
              <w:numPr>
                <w:ilvl w:val="0"/>
                <w:numId w:val="1"/>
              </w:numPr>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科室内现有的中医治疗操作留存</w:t>
            </w:r>
          </w:p>
          <w:p w14:paraId="4F53D6AA">
            <w:pPr>
              <w:keepNext w:val="0"/>
              <w:keepLines w:val="0"/>
              <w:pageBreakBefore w:val="0"/>
              <w:widowControl w:val="0"/>
              <w:numPr>
                <w:ilvl w:val="0"/>
                <w:numId w:val="0"/>
              </w:numPr>
              <w:kinsoku/>
              <w:wordWrap/>
              <w:overflowPunct/>
              <w:topLinePunct w:val="0"/>
              <w:bidi w:val="0"/>
              <w:spacing w:line="360" w:lineRule="auto"/>
              <w:ind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3.科室：代茶饮：降脂茶、止咳方；膏方：咳嗽方、通便方、眩晕健脑方、止晕安神枕等留存</w:t>
            </w:r>
          </w:p>
        </w:tc>
        <w:tc>
          <w:tcPr>
            <w:tcW w:w="1622" w:type="pct"/>
            <w:vMerge w:val="continue"/>
            <w:shd w:val="clear" w:color="auto" w:fill="auto"/>
            <w:vAlign w:val="center"/>
          </w:tcPr>
          <w:p w14:paraId="73EDC475">
            <w:pPr>
              <w:keepNext w:val="0"/>
              <w:keepLines w:val="0"/>
              <w:pageBreakBefore w:val="0"/>
              <w:widowControl w:val="0"/>
              <w:numPr>
                <w:ilvl w:val="0"/>
                <w:numId w:val="0"/>
              </w:numPr>
              <w:kinsoku/>
              <w:wordWrap/>
              <w:overflowPunct/>
              <w:topLinePunct w:val="0"/>
              <w:bidi w:val="0"/>
              <w:spacing w:line="360" w:lineRule="auto"/>
              <w:ind w:left="0" w:leftChars="0" w:firstLine="0" w:firstLineChars="0"/>
              <w:textAlignment w:val="auto"/>
              <w:rPr>
                <w:rFonts w:hint="eastAsia" w:ascii="宋体" w:hAnsi="宋体" w:eastAsia="宋体" w:cs="宋体"/>
                <w:color w:val="auto"/>
                <w:kern w:val="2"/>
                <w:sz w:val="21"/>
                <w:szCs w:val="21"/>
                <w:highlight w:val="none"/>
                <w:lang w:val="en-US" w:eastAsia="zh-CN" w:bidi="ar-SA"/>
              </w:rPr>
            </w:pPr>
          </w:p>
        </w:tc>
      </w:tr>
      <w:tr w14:paraId="18E47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34" w:type="pct"/>
            <w:vAlign w:val="center"/>
          </w:tcPr>
          <w:p w14:paraId="064C8D15">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685" w:type="pct"/>
            <w:vAlign w:val="center"/>
          </w:tcPr>
          <w:p w14:paraId="283F9816">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活动跟拍</w:t>
            </w:r>
          </w:p>
        </w:tc>
        <w:tc>
          <w:tcPr>
            <w:tcW w:w="334" w:type="pct"/>
            <w:vAlign w:val="center"/>
          </w:tcPr>
          <w:p w14:paraId="6776C0DF">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场</w:t>
            </w:r>
          </w:p>
        </w:tc>
        <w:tc>
          <w:tcPr>
            <w:tcW w:w="334" w:type="pct"/>
            <w:vAlign w:val="center"/>
          </w:tcPr>
          <w:p w14:paraId="09CC2836">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42" w:type="pct"/>
            <w:vAlign w:val="center"/>
          </w:tcPr>
          <w:p w14:paraId="468AFA16">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1500元</w:t>
            </w:r>
          </w:p>
        </w:tc>
        <w:tc>
          <w:tcPr>
            <w:tcW w:w="948" w:type="pct"/>
            <w:vAlign w:val="center"/>
          </w:tcPr>
          <w:p w14:paraId="5D381372">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全程记录</w:t>
            </w:r>
            <w:r>
              <w:rPr>
                <w:rFonts w:hint="eastAsia" w:ascii="宋体" w:hAnsi="宋体" w:eastAsia="宋体" w:cs="宋体"/>
                <w:color w:val="auto"/>
                <w:sz w:val="21"/>
                <w:szCs w:val="21"/>
                <w:highlight w:val="none"/>
                <w:lang w:val="en-US" w:eastAsia="zh-CN"/>
              </w:rPr>
              <w:t>我科2025年继续教育活动现场</w:t>
            </w:r>
            <w:r>
              <w:rPr>
                <w:rFonts w:hint="eastAsia" w:ascii="宋体" w:hAnsi="宋体" w:eastAsia="宋体" w:cs="宋体"/>
                <w:color w:val="auto"/>
                <w:sz w:val="21"/>
                <w:szCs w:val="21"/>
                <w:highlight w:val="none"/>
              </w:rPr>
              <w:t>（含专家特写、</w:t>
            </w:r>
            <w:r>
              <w:rPr>
                <w:rFonts w:hint="eastAsia" w:ascii="宋体" w:hAnsi="宋体" w:eastAsia="宋体" w:cs="宋体"/>
                <w:color w:val="auto"/>
                <w:sz w:val="21"/>
                <w:szCs w:val="21"/>
                <w:highlight w:val="none"/>
                <w:lang w:val="en-US" w:eastAsia="zh-CN"/>
              </w:rPr>
              <w:t>合影留念</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现场观众特写等）</w:t>
            </w:r>
          </w:p>
        </w:tc>
        <w:tc>
          <w:tcPr>
            <w:tcW w:w="1622" w:type="pct"/>
            <w:vMerge w:val="restart"/>
            <w:shd w:val="clear" w:color="auto" w:fill="auto"/>
            <w:vAlign w:val="center"/>
          </w:tcPr>
          <w:p w14:paraId="0EBC47CA">
            <w:pPr>
              <w:keepNext w:val="0"/>
              <w:keepLines w:val="0"/>
              <w:pageBreakBefore w:val="0"/>
              <w:widowControl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视频：现场跟拍需满足4K像素需求，如需制作活动微视频，成片按照科室要求交付</w:t>
            </w:r>
          </w:p>
          <w:p w14:paraId="516C8D5E">
            <w:pPr>
              <w:keepNext w:val="0"/>
              <w:keepLines w:val="0"/>
              <w:pageBreakBefore w:val="0"/>
              <w:widowControl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照片：现场影像拍摄需高清输出：3000*2000像素以上，画幅比例3：2、16：9</w:t>
            </w:r>
          </w:p>
        </w:tc>
      </w:tr>
      <w:tr w14:paraId="69AA6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34" w:type="pct"/>
            <w:vAlign w:val="center"/>
          </w:tcPr>
          <w:p w14:paraId="25F7171E">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685" w:type="pct"/>
            <w:vAlign w:val="center"/>
          </w:tcPr>
          <w:p w14:paraId="6173A2A5">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宣传片</w:t>
            </w:r>
          </w:p>
        </w:tc>
        <w:tc>
          <w:tcPr>
            <w:tcW w:w="334" w:type="pct"/>
            <w:vAlign w:val="center"/>
          </w:tcPr>
          <w:p w14:paraId="672CCAB5">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分钟</w:t>
            </w:r>
          </w:p>
        </w:tc>
        <w:tc>
          <w:tcPr>
            <w:tcW w:w="334" w:type="pct"/>
            <w:vAlign w:val="center"/>
          </w:tcPr>
          <w:p w14:paraId="67A6C3A8">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742" w:type="pct"/>
            <w:vAlign w:val="center"/>
          </w:tcPr>
          <w:p w14:paraId="508C77C5">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40000元+配音2000元</w:t>
            </w:r>
          </w:p>
        </w:tc>
        <w:tc>
          <w:tcPr>
            <w:tcW w:w="948" w:type="pct"/>
            <w:vAlign w:val="center"/>
          </w:tcPr>
          <w:p w14:paraId="6FE448D4">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2025年继续教育会议前期宣传片（突出科室理念、专家团队、特色技术及人文关怀 ）</w:t>
            </w:r>
          </w:p>
        </w:tc>
        <w:tc>
          <w:tcPr>
            <w:tcW w:w="1622" w:type="pct"/>
            <w:vMerge w:val="continue"/>
            <w:shd w:val="clear" w:color="auto" w:fill="auto"/>
            <w:vAlign w:val="center"/>
          </w:tcPr>
          <w:p w14:paraId="06BA4D25">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p>
        </w:tc>
      </w:tr>
      <w:tr w14:paraId="1F61F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34" w:type="pct"/>
            <w:vAlign w:val="center"/>
          </w:tcPr>
          <w:p w14:paraId="6A34DC18">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685" w:type="pct"/>
            <w:vAlign w:val="center"/>
          </w:tcPr>
          <w:p w14:paraId="076719CD">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拍摄5个（时间2分钟）动画科普宣传精品视频</w:t>
            </w:r>
          </w:p>
        </w:tc>
        <w:tc>
          <w:tcPr>
            <w:tcW w:w="334" w:type="pct"/>
            <w:vAlign w:val="center"/>
          </w:tcPr>
          <w:p w14:paraId="11F76C5E">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期</w:t>
            </w:r>
          </w:p>
        </w:tc>
        <w:tc>
          <w:tcPr>
            <w:tcW w:w="334" w:type="pct"/>
            <w:vAlign w:val="center"/>
          </w:tcPr>
          <w:p w14:paraId="3A02E3C0">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742" w:type="pct"/>
            <w:vAlign w:val="center"/>
          </w:tcPr>
          <w:p w14:paraId="1C416899">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25000元+配音2000元</w:t>
            </w:r>
          </w:p>
        </w:tc>
        <w:tc>
          <w:tcPr>
            <w:tcW w:w="948" w:type="pct"/>
            <w:vAlign w:val="center"/>
          </w:tcPr>
          <w:p w14:paraId="0C97C072">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老年常见慢病或老年护理</w:t>
            </w:r>
          </w:p>
        </w:tc>
        <w:tc>
          <w:tcPr>
            <w:tcW w:w="1622" w:type="pct"/>
            <w:shd w:val="clear" w:color="auto" w:fill="auto"/>
            <w:vAlign w:val="center"/>
          </w:tcPr>
          <w:p w14:paraId="65E363E1">
            <w:pPr>
              <w:keepNext w:val="0"/>
              <w:keepLines w:val="0"/>
              <w:pageBreakBefore w:val="0"/>
              <w:widowControl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根据科室提供文稿设计制作MG动画视频，输出格式1920*1080像素以上，24fps，15-30Mbps,以MP4或MOV格式交付</w:t>
            </w:r>
          </w:p>
        </w:tc>
      </w:tr>
      <w:tr w14:paraId="30CE0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34" w:type="pct"/>
            <w:vAlign w:val="center"/>
          </w:tcPr>
          <w:p w14:paraId="2FCB566F">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总计</w:t>
            </w:r>
          </w:p>
        </w:tc>
        <w:tc>
          <w:tcPr>
            <w:tcW w:w="4665" w:type="pct"/>
            <w:gridSpan w:val="6"/>
            <w:vAlign w:val="center"/>
          </w:tcPr>
          <w:p w14:paraId="0FDE9A5B">
            <w:pPr>
              <w:keepNext w:val="0"/>
              <w:keepLines w:val="0"/>
              <w:pageBreakBefore w:val="0"/>
              <w:widowControl w:val="0"/>
              <w:kinsoku/>
              <w:wordWrap/>
              <w:overflowPunct/>
              <w:topLinePunct w:val="0"/>
              <w:bidi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99000元</w:t>
            </w:r>
          </w:p>
        </w:tc>
      </w:tr>
    </w:tbl>
    <w:p w14:paraId="1FBA4314">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color w:val="auto"/>
          <w:sz w:val="21"/>
          <w:szCs w:val="21"/>
        </w:rPr>
      </w:pPr>
    </w:p>
    <w:p w14:paraId="0AEE833A">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color w:val="auto"/>
          <w:sz w:val="21"/>
          <w:szCs w:val="21"/>
        </w:rPr>
        <w:sectPr>
          <w:pgSz w:w="16838" w:h="11906" w:orient="landscape"/>
          <w:pgMar w:top="1803" w:right="1440" w:bottom="1803" w:left="1440" w:header="851" w:footer="992" w:gutter="0"/>
          <w:cols w:space="0" w:num="1"/>
          <w:rtlGutter w:val="0"/>
          <w:docGrid w:type="lines" w:linePitch="319" w:charSpace="0"/>
        </w:sectPr>
      </w:pPr>
      <w:r>
        <w:rPr>
          <w:rFonts w:hint="eastAsia" w:ascii="宋体" w:hAnsi="宋体" w:eastAsia="宋体" w:cs="宋体"/>
          <w:b w:val="0"/>
          <w:bCs/>
          <w:color w:val="auto"/>
          <w:sz w:val="21"/>
          <w:szCs w:val="21"/>
        </w:rPr>
        <w:br w:type="page"/>
      </w:r>
    </w:p>
    <w:p w14:paraId="7FA833AF">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eastAsia="zh-CN"/>
        </w:rPr>
        <w:t>六</w:t>
      </w:r>
      <w:r>
        <w:rPr>
          <w:rFonts w:hint="eastAsia" w:ascii="宋体" w:hAnsi="宋体" w:eastAsia="宋体" w:cs="宋体"/>
          <w:b w:val="0"/>
          <w:bCs/>
          <w:color w:val="auto"/>
          <w:sz w:val="21"/>
          <w:szCs w:val="21"/>
        </w:rPr>
        <w:t>、付款方式</w:t>
      </w:r>
    </w:p>
    <w:p w14:paraId="2D1A497C">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合同签订生效，依据成片完成数量据实结算，制作完成交付的成片，由采购人验收合格，凭中标人提供的有效发票进行支付（特殊情况以合同为准）。</w:t>
      </w:r>
    </w:p>
    <w:p w14:paraId="4F84998B">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七、</w:t>
      </w:r>
      <w:r>
        <w:rPr>
          <w:rFonts w:hint="eastAsia" w:ascii="宋体" w:hAnsi="宋体" w:eastAsia="宋体" w:cs="宋体"/>
          <w:b w:val="0"/>
          <w:bCs/>
          <w:color w:val="auto"/>
          <w:sz w:val="21"/>
          <w:szCs w:val="21"/>
        </w:rPr>
        <w:t>验收标准</w:t>
      </w:r>
    </w:p>
    <w:p w14:paraId="5D476742">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按照采购合同的约定和招标文件所有技术要求、商务要求及项目需求书的要求，结合现行国家标准、行业标准或企业标准对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14:paraId="56E3CA5E">
      <w:pPr>
        <w:pStyle w:val="6"/>
        <w:keepNext w:val="0"/>
        <w:keepLines w:val="0"/>
        <w:pageBreakBefore w:val="0"/>
        <w:widowControl w:val="0"/>
        <w:kinsoku/>
        <w:wordWrap/>
        <w:overflowPunct/>
        <w:topLinePunct w:val="0"/>
        <w:bidi w:val="0"/>
        <w:spacing w:line="360" w:lineRule="auto"/>
        <w:ind w:left="0" w:leftChars="0" w:firstLine="420" w:firstLineChars="200"/>
        <w:textAlignment w:val="auto"/>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eastAsia="zh-CN"/>
        </w:rPr>
        <w:t>八</w:t>
      </w:r>
      <w:r>
        <w:rPr>
          <w:rFonts w:hint="eastAsia" w:ascii="宋体" w:hAnsi="宋体" w:eastAsia="宋体" w:cs="宋体"/>
          <w:b w:val="0"/>
          <w:bCs w:val="0"/>
          <w:color w:val="auto"/>
          <w:sz w:val="21"/>
          <w:szCs w:val="21"/>
          <w:lang w:val="en-US"/>
        </w:rPr>
        <w:t>、其他要求</w:t>
      </w:r>
    </w:p>
    <w:p w14:paraId="38D7528D">
      <w:pPr>
        <w:pStyle w:val="6"/>
        <w:keepNext w:val="0"/>
        <w:keepLines w:val="0"/>
        <w:pageBreakBefore w:val="0"/>
        <w:widowControl w:val="0"/>
        <w:kinsoku/>
        <w:wordWrap/>
        <w:overflowPunct/>
        <w:topLinePunct w:val="0"/>
        <w:bidi w:val="0"/>
        <w:spacing w:line="360" w:lineRule="auto"/>
        <w:ind w:firstLine="0"/>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（一）</w:t>
      </w:r>
      <w:r>
        <w:rPr>
          <w:rFonts w:hint="eastAsia" w:ascii="宋体" w:hAnsi="宋体" w:eastAsia="宋体" w:cs="宋体"/>
          <w:color w:val="auto"/>
          <w:sz w:val="21"/>
          <w:szCs w:val="21"/>
          <w:lang w:val="en-US"/>
        </w:rPr>
        <w:t>售后服务保障</w:t>
      </w:r>
    </w:p>
    <w:p w14:paraId="2AAA8D94">
      <w:pPr>
        <w:pStyle w:val="6"/>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在项目作品交付后30天内，针对前期确认的拍摄脚本、创意方案中未实现的内容，或部分甲方不满意问题（如画面模糊、字幕错误、配音不符等），提供不限次数免费修改服务，直至达到方案约定标准。​</w:t>
      </w:r>
    </w:p>
    <w:p w14:paraId="1631D4C3">
      <w:pPr>
        <w:pStyle w:val="6"/>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修改周期：常规修改需求1-3个工作日内完成；涉及重拍部分的修改，根据实际拍摄难度协商确定周期，期间会定期同步修改进度。​</w:t>
      </w:r>
    </w:p>
    <w:p w14:paraId="1C38BF15">
      <w:pPr>
        <w:pStyle w:val="6"/>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补拍与素材服务：若因项目推进需要补充少量拍摄镜头（如新增1-2个短镜头），且补拍内容与原项目主题相关，在交付后15天内可免费提供1次补拍服务。项目交付后，将为甲方提供整理好的原始拍摄素材（如未剪辑的视频片段、照片等），原素材保存期限为交付后6个月，期间若需调取素材，项目组需全力配合保证。​</w:t>
      </w:r>
    </w:p>
    <w:p w14:paraId="236442D1">
      <w:pPr>
        <w:pStyle w:val="6"/>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交付作品要求：若交付的视频文件出现格式错误、无法播放等问题，项目组需在接到反馈后24小时内重新提供正确文件，并协助完成测试播放。为保障视频在不同场景下的使用，可根据甲方需求，免费提供3种以内常用格式视频文件（如MP4、MOV、AVI等），超出格式需求的可协助转换，需在作品策划前与项目组具体负责人沟通协商，以充分保证作品质量。</w:t>
      </w:r>
    </w:p>
    <w:p w14:paraId="2BDC5D68">
      <w:pPr>
        <w:pStyle w:val="6"/>
        <w:keepNext w:val="0"/>
        <w:keepLines w:val="0"/>
        <w:pageBreakBefore w:val="0"/>
        <w:widowControl w:val="0"/>
        <w:numPr>
          <w:ilvl w:val="0"/>
          <w:numId w:val="0"/>
        </w:numPr>
        <w:kinsoku/>
        <w:wordWrap/>
        <w:overflowPunct/>
        <w:topLinePunct w:val="0"/>
        <w:bidi w:val="0"/>
        <w:spacing w:line="360" w:lineRule="auto"/>
        <w:ind w:leftChars="0" w:firstLine="420" w:firstLineChars="200"/>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（二）</w:t>
      </w:r>
      <w:r>
        <w:rPr>
          <w:rFonts w:hint="eastAsia" w:ascii="宋体" w:hAnsi="宋体" w:eastAsia="宋体" w:cs="宋体"/>
          <w:color w:val="auto"/>
          <w:sz w:val="21"/>
          <w:szCs w:val="21"/>
          <w:lang w:val="en-US"/>
        </w:rPr>
        <w:t>交货方式与责任</w:t>
      </w:r>
    </w:p>
    <w:p w14:paraId="2DB85294">
      <w:pPr>
        <w:pStyle w:val="6"/>
        <w:keepNext w:val="0"/>
        <w:keepLines w:val="0"/>
        <w:pageBreakBefore w:val="0"/>
        <w:widowControl w:val="0"/>
        <w:numPr>
          <w:ilvl w:val="0"/>
          <w:numId w:val="0"/>
        </w:numPr>
        <w:kinsoku/>
        <w:wordWrap/>
        <w:overflowPunct/>
        <w:topLinePunct w:val="0"/>
        <w:bidi w:val="0"/>
        <w:spacing w:line="360" w:lineRule="auto"/>
        <w:ind w:leftChars="0" w:firstLine="420" w:firstLineChars="200"/>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1.交付方式：</w:t>
      </w:r>
      <w:r>
        <w:rPr>
          <w:rFonts w:hint="eastAsia" w:ascii="宋体" w:hAnsi="宋体" w:eastAsia="宋体" w:cs="宋体"/>
          <w:color w:val="auto"/>
          <w:sz w:val="21"/>
          <w:szCs w:val="21"/>
          <w:lang w:val="en-US"/>
        </w:rPr>
        <w:t>加密U盘快递实体成片+ 网盘链接（含全部交付物，保留30日）</w:t>
      </w:r>
    </w:p>
    <w:p w14:paraId="41D37EF0">
      <w:pPr>
        <w:pStyle w:val="6"/>
        <w:keepNext w:val="0"/>
        <w:keepLines w:val="0"/>
        <w:pageBreakBefore w:val="0"/>
        <w:widowControl w:val="0"/>
        <w:numPr>
          <w:ilvl w:val="0"/>
          <w:numId w:val="0"/>
        </w:numPr>
        <w:kinsoku/>
        <w:wordWrap/>
        <w:overflowPunct/>
        <w:topLinePunct w:val="0"/>
        <w:bidi w:val="0"/>
        <w:spacing w:line="360" w:lineRule="auto"/>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val="en-US"/>
        </w:rPr>
        <w:t>质量责任界定</w:t>
      </w:r>
      <w:r>
        <w:rPr>
          <w:rFonts w:hint="eastAsia" w:ascii="宋体" w:hAnsi="宋体" w:eastAsia="宋体" w:cs="宋体"/>
          <w:color w:val="auto"/>
          <w:sz w:val="21"/>
          <w:szCs w:val="21"/>
          <w:lang w:val="en-US" w:eastAsia="zh-CN"/>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203E8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14:paraId="16EC5BD4">
            <w:pPr>
              <w:pStyle w:val="6"/>
              <w:keepNext w:val="0"/>
              <w:keepLines w:val="0"/>
              <w:pageBreakBefore w:val="0"/>
              <w:widowControl w:val="0"/>
              <w:numPr>
                <w:ilvl w:val="0"/>
                <w:numId w:val="0"/>
              </w:numPr>
              <w:kinsoku/>
              <w:wordWrap/>
              <w:overflowPunct/>
              <w:topLinePunct w:val="0"/>
              <w:bidi w:val="0"/>
              <w:spacing w:line="360" w:lineRule="auto"/>
              <w:ind w:firstLine="0"/>
              <w:jc w:val="center"/>
              <w:textAlignment w:val="auto"/>
              <w:rPr>
                <w:rFonts w:hint="eastAsia" w:ascii="宋体" w:hAnsi="宋体" w:eastAsia="宋体" w:cs="宋体"/>
                <w:color w:val="auto"/>
                <w:sz w:val="21"/>
                <w:szCs w:val="21"/>
                <w:vertAlign w:val="baseline"/>
                <w:lang w:val="en-US"/>
              </w:rPr>
            </w:pPr>
            <w:r>
              <w:rPr>
                <w:rFonts w:hint="eastAsia" w:ascii="宋体" w:hAnsi="宋体" w:eastAsia="宋体" w:cs="宋体"/>
                <w:color w:val="auto"/>
                <w:sz w:val="21"/>
                <w:szCs w:val="21"/>
                <w:lang w:val="en-US"/>
              </w:rPr>
              <w:t>风险情形</w:t>
            </w:r>
          </w:p>
        </w:tc>
        <w:tc>
          <w:tcPr>
            <w:tcW w:w="2841" w:type="dxa"/>
            <w:vAlign w:val="top"/>
          </w:tcPr>
          <w:p w14:paraId="1768CBC2">
            <w:pPr>
              <w:pStyle w:val="6"/>
              <w:keepNext w:val="0"/>
              <w:keepLines w:val="0"/>
              <w:pageBreakBefore w:val="0"/>
              <w:widowControl w:val="0"/>
              <w:numPr>
                <w:ilvl w:val="0"/>
                <w:numId w:val="0"/>
              </w:numPr>
              <w:kinsoku/>
              <w:wordWrap/>
              <w:overflowPunct/>
              <w:topLinePunct w:val="0"/>
              <w:bidi w:val="0"/>
              <w:spacing w:line="360" w:lineRule="auto"/>
              <w:ind w:firstLine="0"/>
              <w:jc w:val="center"/>
              <w:textAlignment w:val="auto"/>
              <w:rPr>
                <w:rFonts w:hint="eastAsia" w:ascii="宋体" w:hAnsi="宋体" w:eastAsia="宋体" w:cs="宋体"/>
                <w:color w:val="auto"/>
                <w:sz w:val="21"/>
                <w:szCs w:val="21"/>
                <w:vertAlign w:val="baseline"/>
                <w:lang w:val="en-US"/>
              </w:rPr>
            </w:pPr>
            <w:r>
              <w:rPr>
                <w:rFonts w:hint="eastAsia" w:ascii="宋体" w:hAnsi="宋体" w:eastAsia="宋体" w:cs="宋体"/>
                <w:color w:val="auto"/>
                <w:sz w:val="21"/>
                <w:szCs w:val="21"/>
                <w:lang w:val="en-US"/>
              </w:rPr>
              <w:t>责任方</w:t>
            </w:r>
          </w:p>
        </w:tc>
        <w:tc>
          <w:tcPr>
            <w:tcW w:w="2841" w:type="dxa"/>
            <w:vAlign w:val="top"/>
          </w:tcPr>
          <w:p w14:paraId="7F046449">
            <w:pPr>
              <w:pStyle w:val="6"/>
              <w:keepNext w:val="0"/>
              <w:keepLines w:val="0"/>
              <w:pageBreakBefore w:val="0"/>
              <w:widowControl w:val="0"/>
              <w:numPr>
                <w:ilvl w:val="0"/>
                <w:numId w:val="0"/>
              </w:numPr>
              <w:kinsoku/>
              <w:wordWrap/>
              <w:overflowPunct/>
              <w:topLinePunct w:val="0"/>
              <w:bidi w:val="0"/>
              <w:spacing w:line="360" w:lineRule="auto"/>
              <w:ind w:firstLine="0"/>
              <w:jc w:val="center"/>
              <w:textAlignment w:val="auto"/>
              <w:rPr>
                <w:rFonts w:hint="eastAsia" w:ascii="宋体" w:hAnsi="宋体" w:eastAsia="宋体" w:cs="宋体"/>
                <w:color w:val="auto"/>
                <w:sz w:val="21"/>
                <w:szCs w:val="21"/>
                <w:vertAlign w:val="baseline"/>
                <w:lang w:val="en-US"/>
              </w:rPr>
            </w:pPr>
            <w:r>
              <w:rPr>
                <w:rFonts w:hint="eastAsia" w:ascii="宋体" w:hAnsi="宋体" w:eastAsia="宋体" w:cs="宋体"/>
                <w:color w:val="auto"/>
                <w:sz w:val="21"/>
                <w:szCs w:val="21"/>
                <w:lang w:val="en-US"/>
              </w:rPr>
              <w:t>处理方式</w:t>
            </w:r>
          </w:p>
        </w:tc>
      </w:tr>
      <w:tr w14:paraId="3B49C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167E54E">
            <w:pPr>
              <w:pStyle w:val="6"/>
              <w:keepNext w:val="0"/>
              <w:keepLines w:val="0"/>
              <w:pageBreakBefore w:val="0"/>
              <w:widowControl w:val="0"/>
              <w:numPr>
                <w:ilvl w:val="0"/>
                <w:numId w:val="0"/>
              </w:numPr>
              <w:kinsoku/>
              <w:wordWrap/>
              <w:overflowPunct/>
              <w:topLinePunct w:val="0"/>
              <w:bidi w:val="0"/>
              <w:spacing w:line="360" w:lineRule="auto"/>
              <w:ind w:firstLine="0"/>
              <w:textAlignment w:val="auto"/>
              <w:rPr>
                <w:rFonts w:hint="eastAsia" w:ascii="宋体" w:hAnsi="宋体" w:eastAsia="宋体" w:cs="宋体"/>
                <w:color w:val="auto"/>
                <w:sz w:val="21"/>
                <w:szCs w:val="21"/>
                <w:vertAlign w:val="baseline"/>
                <w:lang w:val="en-US"/>
              </w:rPr>
            </w:pPr>
            <w:r>
              <w:rPr>
                <w:rFonts w:hint="eastAsia" w:ascii="宋体" w:hAnsi="宋体" w:eastAsia="宋体" w:cs="宋体"/>
                <w:color w:val="auto"/>
                <w:sz w:val="21"/>
                <w:szCs w:val="21"/>
                <w:lang w:val="en-US" w:eastAsia="zh-CN"/>
              </w:rPr>
              <w:t>规格要求</w:t>
            </w:r>
            <w:r>
              <w:rPr>
                <w:rFonts w:hint="eastAsia" w:ascii="宋体" w:hAnsi="宋体" w:eastAsia="宋体" w:cs="宋体"/>
                <w:color w:val="auto"/>
                <w:sz w:val="21"/>
                <w:szCs w:val="21"/>
                <w:lang w:val="en-US"/>
              </w:rPr>
              <w:t>不达标</w:t>
            </w:r>
          </w:p>
        </w:tc>
        <w:tc>
          <w:tcPr>
            <w:tcW w:w="2841" w:type="dxa"/>
          </w:tcPr>
          <w:p w14:paraId="06FA3EAF">
            <w:pPr>
              <w:pStyle w:val="6"/>
              <w:keepNext w:val="0"/>
              <w:keepLines w:val="0"/>
              <w:pageBreakBefore w:val="0"/>
              <w:widowControl w:val="0"/>
              <w:numPr>
                <w:ilvl w:val="0"/>
                <w:numId w:val="0"/>
              </w:numPr>
              <w:kinsoku/>
              <w:wordWrap/>
              <w:overflowPunct/>
              <w:topLinePunct w:val="0"/>
              <w:bidi w:val="0"/>
              <w:spacing w:line="360" w:lineRule="auto"/>
              <w:ind w:firstLine="0"/>
              <w:textAlignment w:val="auto"/>
              <w:rPr>
                <w:rFonts w:hint="eastAsia" w:ascii="宋体" w:hAnsi="宋体" w:eastAsia="宋体" w:cs="宋体"/>
                <w:color w:val="auto"/>
                <w:sz w:val="21"/>
                <w:szCs w:val="21"/>
                <w:vertAlign w:val="baseline"/>
                <w:lang w:val="en-US"/>
              </w:rPr>
            </w:pPr>
            <w:r>
              <w:rPr>
                <w:rFonts w:hint="eastAsia" w:ascii="宋体" w:hAnsi="宋体" w:eastAsia="宋体" w:cs="宋体"/>
                <w:color w:val="auto"/>
                <w:sz w:val="21"/>
                <w:szCs w:val="21"/>
                <w:lang w:val="en-US"/>
              </w:rPr>
              <w:t>制作方</w:t>
            </w:r>
          </w:p>
        </w:tc>
        <w:tc>
          <w:tcPr>
            <w:tcW w:w="2841" w:type="dxa"/>
          </w:tcPr>
          <w:p w14:paraId="666D7E95">
            <w:pPr>
              <w:pStyle w:val="6"/>
              <w:keepNext w:val="0"/>
              <w:keepLines w:val="0"/>
              <w:pageBreakBefore w:val="0"/>
              <w:widowControl w:val="0"/>
              <w:numPr>
                <w:ilvl w:val="0"/>
                <w:numId w:val="0"/>
              </w:numPr>
              <w:kinsoku/>
              <w:wordWrap/>
              <w:overflowPunct/>
              <w:topLinePunct w:val="0"/>
              <w:bidi w:val="0"/>
              <w:spacing w:line="360" w:lineRule="auto"/>
              <w:ind w:firstLine="0"/>
              <w:textAlignment w:val="auto"/>
              <w:rPr>
                <w:rFonts w:hint="eastAsia" w:ascii="宋体" w:hAnsi="宋体" w:eastAsia="宋体" w:cs="宋体"/>
                <w:color w:val="auto"/>
                <w:sz w:val="21"/>
                <w:szCs w:val="21"/>
                <w:highlight w:val="none"/>
                <w:vertAlign w:val="baseline"/>
                <w:lang w:val="en-US"/>
              </w:rPr>
            </w:pPr>
            <w:r>
              <w:rPr>
                <w:rFonts w:hint="eastAsia" w:ascii="宋体" w:hAnsi="宋体" w:eastAsia="宋体" w:cs="宋体"/>
                <w:color w:val="auto"/>
                <w:sz w:val="21"/>
                <w:szCs w:val="21"/>
                <w:highlight w:val="none"/>
                <w:lang w:val="en-US"/>
              </w:rPr>
              <w:t>48小时内免费重制；若二次验收仍不合格，扣减</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lang w:val="en-US"/>
              </w:rPr>
              <w:t>%款项并有权更换合作方</w:t>
            </w:r>
            <w:r>
              <w:rPr>
                <w:rFonts w:hint="eastAsia" w:ascii="宋体" w:hAnsi="宋体" w:eastAsia="宋体" w:cs="宋体"/>
                <w:color w:val="auto"/>
                <w:sz w:val="21"/>
                <w:szCs w:val="21"/>
                <w:highlight w:val="none"/>
                <w:lang w:val="en-US" w:eastAsia="zh-CN"/>
              </w:rPr>
              <w:t>。</w:t>
            </w:r>
          </w:p>
        </w:tc>
      </w:tr>
      <w:tr w14:paraId="54EA6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35B2936">
            <w:pPr>
              <w:pStyle w:val="6"/>
              <w:keepNext w:val="0"/>
              <w:keepLines w:val="0"/>
              <w:pageBreakBefore w:val="0"/>
              <w:widowControl w:val="0"/>
              <w:numPr>
                <w:ilvl w:val="0"/>
                <w:numId w:val="0"/>
              </w:numPr>
              <w:kinsoku/>
              <w:wordWrap/>
              <w:overflowPunct/>
              <w:topLinePunct w:val="0"/>
              <w:bidi w:val="0"/>
              <w:spacing w:line="360" w:lineRule="auto"/>
              <w:ind w:firstLine="0"/>
              <w:textAlignment w:val="auto"/>
              <w:rPr>
                <w:rFonts w:hint="eastAsia" w:ascii="宋体" w:hAnsi="宋体" w:eastAsia="宋体" w:cs="宋体"/>
                <w:color w:val="auto"/>
                <w:sz w:val="21"/>
                <w:szCs w:val="21"/>
                <w:vertAlign w:val="baseline"/>
                <w:lang w:val="en-US"/>
              </w:rPr>
            </w:pPr>
            <w:r>
              <w:rPr>
                <w:rFonts w:hint="eastAsia" w:ascii="宋体" w:hAnsi="宋体" w:eastAsia="宋体" w:cs="宋体"/>
                <w:color w:val="auto"/>
                <w:sz w:val="21"/>
                <w:szCs w:val="21"/>
                <w:lang w:val="en-US"/>
              </w:rPr>
              <w:t>患者隐私泄露</w:t>
            </w:r>
          </w:p>
        </w:tc>
        <w:tc>
          <w:tcPr>
            <w:tcW w:w="2841" w:type="dxa"/>
          </w:tcPr>
          <w:p w14:paraId="32296020">
            <w:pPr>
              <w:pStyle w:val="6"/>
              <w:keepNext w:val="0"/>
              <w:keepLines w:val="0"/>
              <w:pageBreakBefore w:val="0"/>
              <w:widowControl w:val="0"/>
              <w:numPr>
                <w:ilvl w:val="0"/>
                <w:numId w:val="0"/>
              </w:numPr>
              <w:kinsoku/>
              <w:wordWrap/>
              <w:overflowPunct/>
              <w:topLinePunct w:val="0"/>
              <w:bidi w:val="0"/>
              <w:spacing w:line="360" w:lineRule="auto"/>
              <w:ind w:firstLine="0"/>
              <w:textAlignment w:val="auto"/>
              <w:rPr>
                <w:rFonts w:hint="eastAsia" w:ascii="宋体" w:hAnsi="宋体" w:eastAsia="宋体" w:cs="宋体"/>
                <w:color w:val="auto"/>
                <w:sz w:val="21"/>
                <w:szCs w:val="21"/>
                <w:vertAlign w:val="baseline"/>
                <w:lang w:val="en-US"/>
              </w:rPr>
            </w:pPr>
            <w:r>
              <w:rPr>
                <w:rFonts w:hint="eastAsia" w:ascii="宋体" w:hAnsi="宋体" w:eastAsia="宋体" w:cs="宋体"/>
                <w:color w:val="auto"/>
                <w:sz w:val="21"/>
                <w:szCs w:val="21"/>
                <w:lang w:val="en-US"/>
              </w:rPr>
              <w:t>制作方</w:t>
            </w:r>
          </w:p>
        </w:tc>
        <w:tc>
          <w:tcPr>
            <w:tcW w:w="2841" w:type="dxa"/>
          </w:tcPr>
          <w:p w14:paraId="14374207">
            <w:pPr>
              <w:pStyle w:val="6"/>
              <w:keepNext w:val="0"/>
              <w:keepLines w:val="0"/>
              <w:pageBreakBefore w:val="0"/>
              <w:widowControl w:val="0"/>
              <w:numPr>
                <w:ilvl w:val="0"/>
                <w:numId w:val="0"/>
              </w:numPr>
              <w:kinsoku/>
              <w:wordWrap/>
              <w:overflowPunct/>
              <w:topLinePunct w:val="0"/>
              <w:bidi w:val="0"/>
              <w:spacing w:line="360" w:lineRule="auto"/>
              <w:ind w:firstLine="0"/>
              <w:textAlignment w:val="auto"/>
              <w:rPr>
                <w:rFonts w:hint="eastAsia" w:ascii="宋体" w:hAnsi="宋体" w:eastAsia="宋体" w:cs="宋体"/>
                <w:color w:val="auto"/>
                <w:sz w:val="21"/>
                <w:szCs w:val="21"/>
                <w:highlight w:val="none"/>
                <w:vertAlign w:val="baseline"/>
                <w:lang w:val="en-US"/>
              </w:rPr>
            </w:pPr>
            <w:r>
              <w:rPr>
                <w:rFonts w:hint="eastAsia" w:ascii="宋体" w:hAnsi="宋体" w:eastAsia="宋体" w:cs="宋体"/>
                <w:color w:val="auto"/>
                <w:sz w:val="21"/>
                <w:szCs w:val="21"/>
                <w:highlight w:val="none"/>
                <w:lang w:val="en-US"/>
              </w:rPr>
              <w:t>承担全部法律后果；赔偿科室名誉损失（合同金额</w:t>
            </w:r>
            <w:r>
              <w:rPr>
                <w:rFonts w:hint="eastAsia" w:ascii="宋体" w:hAnsi="宋体" w:eastAsia="宋体" w:cs="宋体"/>
                <w:color w:val="auto"/>
                <w:sz w:val="21"/>
                <w:szCs w:val="21"/>
                <w:highlight w:val="none"/>
                <w:lang w:val="en-US" w:eastAsia="zh-CN"/>
              </w:rPr>
              <w:t>的30</w:t>
            </w:r>
            <w:r>
              <w:rPr>
                <w:rFonts w:hint="eastAsia" w:ascii="宋体" w:hAnsi="宋体" w:eastAsia="宋体" w:cs="宋体"/>
                <w:color w:val="auto"/>
                <w:sz w:val="21"/>
                <w:szCs w:val="21"/>
                <w:highlight w:val="none"/>
                <w:lang w:val="en-US"/>
              </w:rPr>
              <w:t>%）+永久终止合作</w:t>
            </w:r>
            <w:r>
              <w:rPr>
                <w:rFonts w:hint="eastAsia" w:ascii="宋体" w:hAnsi="宋体" w:eastAsia="宋体" w:cs="宋体"/>
                <w:color w:val="auto"/>
                <w:sz w:val="21"/>
                <w:szCs w:val="21"/>
                <w:highlight w:val="none"/>
                <w:lang w:val="en-US" w:eastAsia="zh-CN"/>
              </w:rPr>
              <w:t>。</w:t>
            </w:r>
          </w:p>
        </w:tc>
      </w:tr>
      <w:tr w14:paraId="6F4DA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ABB387B">
            <w:pPr>
              <w:pStyle w:val="6"/>
              <w:keepNext w:val="0"/>
              <w:keepLines w:val="0"/>
              <w:pageBreakBefore w:val="0"/>
              <w:widowControl w:val="0"/>
              <w:numPr>
                <w:ilvl w:val="0"/>
                <w:numId w:val="0"/>
              </w:numPr>
              <w:kinsoku/>
              <w:wordWrap/>
              <w:overflowPunct/>
              <w:topLinePunct w:val="0"/>
              <w:bidi w:val="0"/>
              <w:spacing w:line="360" w:lineRule="auto"/>
              <w:ind w:firstLine="0"/>
              <w:textAlignment w:val="auto"/>
              <w:rPr>
                <w:rFonts w:hint="eastAsia" w:ascii="宋体" w:hAnsi="宋体" w:eastAsia="宋体" w:cs="宋体"/>
                <w:color w:val="auto"/>
                <w:sz w:val="21"/>
                <w:szCs w:val="21"/>
                <w:vertAlign w:val="baseline"/>
                <w:lang w:val="en-US"/>
              </w:rPr>
            </w:pPr>
            <w:r>
              <w:rPr>
                <w:rFonts w:hint="eastAsia" w:ascii="宋体" w:hAnsi="宋体" w:eastAsia="宋体" w:cs="宋体"/>
                <w:color w:val="auto"/>
                <w:sz w:val="21"/>
                <w:szCs w:val="21"/>
                <w:lang w:val="en-US"/>
              </w:rPr>
              <w:t>设备损毁/素材丢失</w:t>
            </w:r>
          </w:p>
        </w:tc>
        <w:tc>
          <w:tcPr>
            <w:tcW w:w="2841" w:type="dxa"/>
          </w:tcPr>
          <w:p w14:paraId="626183E3">
            <w:pPr>
              <w:pStyle w:val="6"/>
              <w:keepNext w:val="0"/>
              <w:keepLines w:val="0"/>
              <w:pageBreakBefore w:val="0"/>
              <w:widowControl w:val="0"/>
              <w:numPr>
                <w:ilvl w:val="0"/>
                <w:numId w:val="0"/>
              </w:numPr>
              <w:kinsoku/>
              <w:wordWrap/>
              <w:overflowPunct/>
              <w:topLinePunct w:val="0"/>
              <w:bidi w:val="0"/>
              <w:spacing w:line="360" w:lineRule="auto"/>
              <w:ind w:firstLine="0"/>
              <w:textAlignment w:val="auto"/>
              <w:rPr>
                <w:rFonts w:hint="eastAsia" w:ascii="宋体" w:hAnsi="宋体" w:eastAsia="宋体" w:cs="宋体"/>
                <w:color w:val="auto"/>
                <w:sz w:val="21"/>
                <w:szCs w:val="21"/>
                <w:vertAlign w:val="baseline"/>
                <w:lang w:val="en-US"/>
              </w:rPr>
            </w:pPr>
            <w:r>
              <w:rPr>
                <w:rFonts w:hint="eastAsia" w:ascii="宋体" w:hAnsi="宋体" w:eastAsia="宋体" w:cs="宋体"/>
                <w:color w:val="auto"/>
                <w:sz w:val="21"/>
                <w:szCs w:val="21"/>
                <w:lang w:val="en-US"/>
              </w:rPr>
              <w:t>制作方</w:t>
            </w:r>
          </w:p>
        </w:tc>
        <w:tc>
          <w:tcPr>
            <w:tcW w:w="2841" w:type="dxa"/>
          </w:tcPr>
          <w:p w14:paraId="1A3DB9BC">
            <w:pPr>
              <w:pStyle w:val="6"/>
              <w:keepNext w:val="0"/>
              <w:keepLines w:val="0"/>
              <w:pageBreakBefore w:val="0"/>
              <w:widowControl w:val="0"/>
              <w:numPr>
                <w:ilvl w:val="0"/>
                <w:numId w:val="0"/>
              </w:numPr>
              <w:kinsoku/>
              <w:wordWrap/>
              <w:overflowPunct/>
              <w:topLinePunct w:val="0"/>
              <w:bidi w:val="0"/>
              <w:spacing w:line="360" w:lineRule="auto"/>
              <w:ind w:firstLine="0"/>
              <w:textAlignment w:val="auto"/>
              <w:rPr>
                <w:rFonts w:hint="eastAsia" w:ascii="宋体" w:hAnsi="宋体" w:eastAsia="宋体" w:cs="宋体"/>
                <w:color w:val="auto"/>
                <w:sz w:val="21"/>
                <w:szCs w:val="21"/>
                <w:vertAlign w:val="baseline"/>
                <w:lang w:val="en-US"/>
              </w:rPr>
            </w:pPr>
            <w:r>
              <w:rPr>
                <w:rFonts w:hint="eastAsia" w:ascii="宋体" w:hAnsi="宋体" w:eastAsia="宋体" w:cs="宋体"/>
                <w:color w:val="auto"/>
                <w:sz w:val="21"/>
                <w:szCs w:val="21"/>
                <w:lang w:val="en-US"/>
              </w:rPr>
              <w:t>自费重新拍摄；延误交付按日扣款（不可抗力除外）</w:t>
            </w:r>
          </w:p>
        </w:tc>
      </w:tr>
    </w:tbl>
    <w:p w14:paraId="6CF7B1F5">
      <w:pPr>
        <w:pStyle w:val="6"/>
        <w:keepNext w:val="0"/>
        <w:keepLines w:val="0"/>
        <w:pageBreakBefore w:val="0"/>
        <w:widowControl w:val="0"/>
        <w:numPr>
          <w:ilvl w:val="0"/>
          <w:numId w:val="0"/>
        </w:numPr>
        <w:kinsoku/>
        <w:wordWrap/>
        <w:overflowPunct/>
        <w:topLinePunct w:val="0"/>
        <w:bidi w:val="0"/>
        <w:spacing w:line="360" w:lineRule="auto"/>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（三）</w:t>
      </w:r>
      <w:r>
        <w:rPr>
          <w:rFonts w:hint="eastAsia" w:ascii="宋体" w:hAnsi="宋体" w:eastAsia="宋体" w:cs="宋体"/>
          <w:color w:val="auto"/>
          <w:sz w:val="21"/>
          <w:szCs w:val="21"/>
          <w:lang w:val="en-US"/>
        </w:rPr>
        <w:t>知识产权与保密</w:t>
      </w:r>
      <w:bookmarkStart w:id="1" w:name="_GoBack"/>
      <w:bookmarkEnd w:id="1"/>
    </w:p>
    <w:p w14:paraId="1D1EFEAF">
      <w:pPr>
        <w:pStyle w:val="6"/>
        <w:keepNext w:val="0"/>
        <w:keepLines w:val="0"/>
        <w:pageBreakBefore w:val="0"/>
        <w:widowControl w:val="0"/>
        <w:numPr>
          <w:ilvl w:val="0"/>
          <w:numId w:val="0"/>
        </w:numPr>
        <w:kinsoku/>
        <w:wordWrap/>
        <w:overflowPunct/>
        <w:topLinePunct w:val="0"/>
        <w:bidi w:val="0"/>
        <w:spacing w:line="360" w:lineRule="auto"/>
        <w:ind w:leftChars="0" w:firstLine="420" w:firstLineChars="200"/>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val="en-US"/>
        </w:rPr>
        <w:t>版权归属：成片著作权归科室所有，制作方保留署名权；</w:t>
      </w:r>
    </w:p>
    <w:p w14:paraId="6811CA35">
      <w:pPr>
        <w:pStyle w:val="6"/>
        <w:keepNext w:val="0"/>
        <w:keepLines w:val="0"/>
        <w:pageBreakBefore w:val="0"/>
        <w:widowControl w:val="0"/>
        <w:numPr>
          <w:ilvl w:val="0"/>
          <w:numId w:val="0"/>
        </w:numPr>
        <w:kinsoku/>
        <w:wordWrap/>
        <w:overflowPunct/>
        <w:topLinePunct w:val="0"/>
        <w:bidi w:val="0"/>
        <w:spacing w:line="360" w:lineRule="auto"/>
        <w:ind w:leftChars="0" w:firstLine="420" w:firstLineChars="200"/>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val="en-US"/>
        </w:rPr>
        <w:t>素材保密：拍摄原始素材需在交付后30日内销毁（提供销毁证明）；</w:t>
      </w:r>
    </w:p>
    <w:p w14:paraId="0EFA74BF">
      <w:pPr>
        <w:pStyle w:val="6"/>
        <w:numPr>
          <w:ilvl w:val="0"/>
          <w:numId w:val="0"/>
        </w:numPr>
        <w:kinsoku/>
        <w:spacing w:line="360" w:lineRule="auto"/>
        <w:ind w:firstLine="420" w:firstLineChars="200"/>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val="en-US"/>
        </w:rPr>
        <w:t>违约追责：制作方泄密或擅自使用素材，需支付违约金（</w:t>
      </w:r>
      <w:r>
        <w:rPr>
          <w:rFonts w:hint="eastAsia" w:ascii="宋体" w:hAnsi="宋体" w:eastAsia="宋体" w:cs="宋体"/>
          <w:color w:val="auto"/>
          <w:sz w:val="21"/>
          <w:szCs w:val="21"/>
          <w:lang w:val="en-US" w:eastAsia="zh-CN"/>
        </w:rPr>
        <w:t>合同金额的30</w:t>
      </w:r>
      <w:r>
        <w:rPr>
          <w:rFonts w:hint="eastAsia" w:ascii="宋体" w:hAnsi="宋体" w:eastAsia="宋体" w:cs="宋体"/>
          <w:color w:val="auto"/>
          <w:sz w:val="21"/>
          <w:szCs w:val="21"/>
          <w:lang w:val="en-US"/>
        </w:rPr>
        <w:t>%）</w:t>
      </w:r>
      <w:r>
        <w:rPr>
          <w:rFonts w:hint="eastAsia" w:ascii="宋体" w:hAnsi="宋体" w:eastAsia="宋体" w:cs="宋体"/>
          <w:color w:val="auto"/>
          <w:sz w:val="21"/>
          <w:szCs w:val="21"/>
          <w:highlight w:val="none"/>
          <w:lang w:val="en-US"/>
        </w:rPr>
        <w:t>。</w:t>
      </w:r>
    </w:p>
    <w:p w14:paraId="3E3D935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C76AA5"/>
    <w:multiLevelType w:val="singleLevel"/>
    <w:tmpl w:val="12C76AA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0876E3"/>
    <w:rsid w:val="6E087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220" w:after="210" w:line="578" w:lineRule="auto"/>
      <w:ind w:leftChars="300"/>
      <w:jc w:val="center"/>
      <w:outlineLvl w:val="0"/>
    </w:pPr>
    <w:rPr>
      <w:rFonts w:ascii="Times New Roman" w:hAnsi="Times New Roman" w:eastAsia="宋体"/>
      <w:b/>
      <w:bCs/>
      <w:kern w:val="44"/>
      <w:sz w:val="32"/>
      <w:szCs w:val="44"/>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首行缩进"/>
    <w:basedOn w:val="1"/>
    <w:autoRedefine/>
    <w:qFormat/>
    <w:uiPriority w:val="0"/>
    <w:pPr>
      <w:ind w:firstLine="480"/>
    </w:pPr>
    <w:rPr>
      <w:rFonts w:ascii="Calibri" w:hAnsi="Calibri"/>
      <w:szCs w:val="22"/>
      <w:lang w:val="zh-CN"/>
    </w:rPr>
  </w:style>
  <w:style w:type="character" w:customStyle="1" w:styleId="7">
    <w:name w:val="font71"/>
    <w:basedOn w:val="5"/>
    <w:qFormat/>
    <w:uiPriority w:val="0"/>
    <w:rPr>
      <w:rFonts w:hint="eastAsia" w:ascii="仿宋" w:hAnsi="仿宋" w:eastAsia="仿宋" w:cs="仿宋"/>
      <w:color w:val="000000"/>
      <w:sz w:val="44"/>
      <w:szCs w:val="4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2025-10-17T00:56:00Z</dcterms:created>
  <dc:creator>宋可口ya！</dc:creator>
  <cp:lastModifiedBy>宋可口ya！</cp:lastModifiedBy>
  <dcterms:modified xsi:type="dcterms:W3CDTF">2025-10-17T00:56:35Z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BF2DF373F7FF4AE8ADA54B13245A035D_11</vt:lpwstr>
  </property>
  <property fmtid="{D5CDD505-2E9C-101B-9397-08002B2CF9AE}" pid="4" name="KSOTemplateDocerSaveRecord">
    <vt:lpwstr>eyJoZGlkIjoiYjdmMzk2OWMxMjhiYmMwNmMwOGVhZTU5MjQ3MzlmMmEiLCJ1c2VySWQiOiIyODg5MTc3NTMifQ==</vt:lpwstr>
  </property>
</Properties>
</file>