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0C717">
      <w:pPr>
        <w:spacing w:line="360" w:lineRule="auto"/>
        <w:ind w:firstLine="482" w:firstLineChars="200"/>
        <w:rPr>
          <w:rFonts w:hint="eastAsia" w:ascii="宋体" w:hAnsi="宋体"/>
          <w:b/>
          <w:sz w:val="24"/>
          <w:highlight w:val="none"/>
        </w:rPr>
      </w:pPr>
      <w:r>
        <w:rPr>
          <w:rFonts w:hint="eastAsia" w:ascii="宋体" w:hAnsi="宋体"/>
          <w:b/>
          <w:sz w:val="24"/>
          <w:highlight w:val="none"/>
        </w:rPr>
        <w:t>一、项目背景</w:t>
      </w:r>
    </w:p>
    <w:p w14:paraId="76124955">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锁骨骨折是一种常见的损伤，占成人全身骨折的2.6%～4%。锁骨中段无肌肉和韧带附着，是内外端交汇处承受的剪切力最大，故锁骨中段骨折占锁骨骨折的比例最大，约80%左右。近年来交通事故等高能量损伤频繁反生，导致锁骨中段移位性骨折发生机率有所提高，移位骨折时局部疼痛、肿胀和畸形，且向下移位的骨折块有压迫和刺破锁骨下血管神经的可能，进而影响上肢的功能及感觉，向上移位的骨折块则有顶破皮肤造成开放性骨折的可能。</w:t>
      </w:r>
    </w:p>
    <w:p w14:paraId="4C545F00">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通过有限元分析和生物力学研究，</w:t>
      </w:r>
      <w:r>
        <w:rPr>
          <w:rFonts w:hint="eastAsia" w:ascii="宋体" w:hAnsi="宋体" w:eastAsia="宋体" w:cs="宋体"/>
          <w:b w:val="0"/>
          <w:bCs w:val="0"/>
          <w:sz w:val="24"/>
          <w:szCs w:val="24"/>
          <w:highlight w:val="none"/>
          <w:lang w:val="en-US" w:eastAsia="zh-CN"/>
        </w:rPr>
        <w:t>通过</w:t>
      </w:r>
      <w:r>
        <w:rPr>
          <w:rFonts w:hint="eastAsia" w:ascii="宋体" w:hAnsi="宋体" w:eastAsia="宋体" w:cs="宋体"/>
          <w:b w:val="0"/>
          <w:bCs w:val="0"/>
          <w:sz w:val="24"/>
          <w:szCs w:val="24"/>
          <w:highlight w:val="none"/>
        </w:rPr>
        <w:t>金针复位技术</w:t>
      </w:r>
      <w:r>
        <w:rPr>
          <w:rFonts w:hint="eastAsia" w:ascii="宋体" w:hAnsi="宋体" w:eastAsia="宋体" w:cs="宋体"/>
          <w:b w:val="0"/>
          <w:bCs w:val="0"/>
          <w:sz w:val="24"/>
          <w:szCs w:val="24"/>
          <w:highlight w:val="none"/>
          <w:lang w:val="en-US" w:eastAsia="zh-CN"/>
        </w:rPr>
        <w:t>与锁定钢板</w:t>
      </w:r>
      <w:r>
        <w:rPr>
          <w:rFonts w:hint="eastAsia" w:ascii="宋体" w:hAnsi="宋体" w:eastAsia="宋体" w:cs="宋体"/>
          <w:b w:val="0"/>
          <w:bCs w:val="0"/>
          <w:sz w:val="24"/>
          <w:szCs w:val="24"/>
          <w:highlight w:val="none"/>
        </w:rPr>
        <w:t>治疗锁骨中段骨折的</w:t>
      </w:r>
      <w:r>
        <w:rPr>
          <w:rFonts w:hint="eastAsia" w:ascii="宋体" w:hAnsi="宋体" w:eastAsia="宋体" w:cs="宋体"/>
          <w:b w:val="0"/>
          <w:bCs w:val="0"/>
          <w:sz w:val="24"/>
          <w:szCs w:val="24"/>
          <w:highlight w:val="none"/>
          <w:lang w:val="en-US" w:eastAsia="zh-CN"/>
        </w:rPr>
        <w:t>生物力学表现，验证穿针复位技术的固定效果</w:t>
      </w:r>
      <w:r>
        <w:rPr>
          <w:rFonts w:hint="eastAsia" w:ascii="宋体" w:hAnsi="宋体" w:eastAsia="宋体" w:cs="宋体"/>
          <w:b w:val="0"/>
          <w:bCs w:val="0"/>
          <w:sz w:val="24"/>
          <w:szCs w:val="24"/>
          <w:highlight w:val="none"/>
        </w:rPr>
        <w:t>及不足，以期</w:t>
      </w:r>
      <w:r>
        <w:rPr>
          <w:rFonts w:hint="eastAsia" w:ascii="宋体" w:hAnsi="宋体" w:eastAsia="宋体" w:cs="宋体"/>
          <w:b w:val="0"/>
          <w:bCs w:val="0"/>
          <w:sz w:val="24"/>
          <w:szCs w:val="24"/>
          <w:highlight w:val="none"/>
          <w:lang w:val="en-US" w:eastAsia="zh-CN"/>
        </w:rPr>
        <w:t>指导患者围手术期制动及科学功能锻炼</w:t>
      </w:r>
      <w:r>
        <w:rPr>
          <w:rFonts w:hint="eastAsia" w:ascii="宋体" w:hAnsi="宋体" w:eastAsia="宋体" w:cs="宋体"/>
          <w:b w:val="0"/>
          <w:bCs w:val="0"/>
          <w:sz w:val="24"/>
          <w:szCs w:val="24"/>
          <w:highlight w:val="none"/>
        </w:rPr>
        <w:t>，为金针复位技术的推广提供理论依据。</w:t>
      </w:r>
    </w:p>
    <w:p w14:paraId="1011836F">
      <w:pPr>
        <w:spacing w:line="360" w:lineRule="auto"/>
        <w:ind w:firstLine="480" w:firstLineChars="200"/>
        <w:rPr>
          <w:sz w:val="24"/>
          <w:highlight w:val="none"/>
        </w:rPr>
      </w:pPr>
      <w:r>
        <w:rPr>
          <w:rFonts w:hint="eastAsia" w:ascii="宋体" w:hAnsi="宋体" w:eastAsia="宋体" w:cs="宋体"/>
          <w:color w:val="auto"/>
          <w:sz w:val="24"/>
          <w:szCs w:val="24"/>
          <w:highlight w:val="none"/>
        </w:rPr>
        <w:t>在前期工作中，我们已完成</w:t>
      </w:r>
      <w:r>
        <w:rPr>
          <w:rFonts w:hint="eastAsia" w:ascii="宋体" w:hAnsi="宋体" w:eastAsia="宋体" w:cs="宋体"/>
          <w:color w:val="auto"/>
          <w:sz w:val="24"/>
          <w:szCs w:val="24"/>
          <w:highlight w:val="none"/>
          <w:lang w:val="en-US" w:eastAsia="zh-CN"/>
        </w:rPr>
        <w:t>模型建立</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rPr>
        <w:t>然而，上述结论多基于</w:t>
      </w:r>
      <w:r>
        <w:rPr>
          <w:rFonts w:hint="eastAsia" w:ascii="宋体" w:hAnsi="宋体" w:eastAsia="宋体" w:cs="宋体"/>
          <w:color w:val="auto"/>
          <w:sz w:val="24"/>
          <w:szCs w:val="24"/>
          <w:highlight w:val="none"/>
          <w:lang w:val="en-US" w:eastAsia="zh-CN"/>
        </w:rPr>
        <w:t>有限元基础分析</w:t>
      </w:r>
      <w:r>
        <w:rPr>
          <w:rFonts w:hint="eastAsia" w:ascii="宋体" w:hAnsi="宋体" w:eastAsia="宋体" w:cs="宋体"/>
          <w:color w:val="auto"/>
          <w:sz w:val="24"/>
          <w:szCs w:val="24"/>
          <w:highlight w:val="none"/>
        </w:rPr>
        <w:t>实验，尚</w:t>
      </w:r>
      <w:r>
        <w:rPr>
          <w:rFonts w:hint="eastAsia" w:ascii="宋体" w:hAnsi="宋体" w:eastAsia="宋体" w:cs="宋体"/>
          <w:color w:val="auto"/>
          <w:sz w:val="24"/>
          <w:szCs w:val="24"/>
          <w:highlight w:val="none"/>
          <w:lang w:val="en-US" w:eastAsia="zh-CN"/>
        </w:rPr>
        <w:t>两种内植物</w:t>
      </w:r>
      <w:r>
        <w:rPr>
          <w:rFonts w:hint="eastAsia" w:ascii="宋体" w:hAnsi="宋体" w:eastAsia="宋体" w:cs="宋体"/>
          <w:b w:val="0"/>
          <w:bCs w:val="0"/>
          <w:color w:val="auto"/>
          <w:sz w:val="24"/>
          <w:szCs w:val="24"/>
          <w:highlight w:val="none"/>
          <w:lang w:val="en-US" w:eastAsia="zh-CN"/>
        </w:rPr>
        <w:t>静态</w:t>
      </w:r>
      <w:r>
        <w:rPr>
          <w:rFonts w:hint="eastAsia" w:ascii="宋体" w:hAnsi="宋体" w:eastAsia="宋体" w:cs="宋体"/>
          <w:b w:val="0"/>
          <w:bCs w:val="0"/>
          <w:color w:val="auto"/>
          <w:sz w:val="24"/>
          <w:szCs w:val="24"/>
          <w:highlight w:val="none"/>
        </w:rPr>
        <w:t>弯曲负载</w:t>
      </w:r>
      <w:r>
        <w:rPr>
          <w:rFonts w:hint="eastAsia" w:ascii="宋体" w:hAnsi="宋体" w:eastAsia="宋体" w:cs="宋体"/>
          <w:b w:val="0"/>
          <w:bCs w:val="0"/>
          <w:color w:val="auto"/>
          <w:sz w:val="24"/>
          <w:szCs w:val="24"/>
          <w:highlight w:val="none"/>
          <w:lang w:val="en-US" w:eastAsia="zh-CN"/>
        </w:rPr>
        <w:t>和</w:t>
      </w:r>
      <w:r>
        <w:rPr>
          <w:rFonts w:hint="eastAsia" w:ascii="宋体" w:hAnsi="宋体" w:eastAsia="宋体" w:cs="宋体"/>
          <w:b w:val="0"/>
          <w:bCs w:val="0"/>
          <w:color w:val="auto"/>
          <w:sz w:val="24"/>
          <w:szCs w:val="24"/>
          <w:highlight w:val="none"/>
        </w:rPr>
        <w:t>扭转负载下测算出样本的强度、屈服强度以及极限强度</w:t>
      </w:r>
      <w:r>
        <w:rPr>
          <w:rFonts w:hint="eastAsia" w:ascii="宋体" w:hAnsi="宋体" w:eastAsia="宋体" w:cs="宋体"/>
          <w:color w:val="auto"/>
          <w:sz w:val="24"/>
          <w:szCs w:val="24"/>
          <w:highlight w:val="none"/>
          <w:lang w:val="en-US" w:eastAsia="zh-CN"/>
        </w:rPr>
        <w:t>力学</w:t>
      </w:r>
      <w:r>
        <w:rPr>
          <w:rFonts w:hint="eastAsia" w:ascii="宋体" w:hAnsi="宋体" w:eastAsia="宋体" w:cs="宋体"/>
          <w:color w:val="auto"/>
          <w:sz w:val="24"/>
          <w:szCs w:val="24"/>
          <w:highlight w:val="none"/>
        </w:rPr>
        <w:t>实验。</w:t>
      </w:r>
      <w:r>
        <w:rPr>
          <w:sz w:val="24"/>
          <w:highlight w:val="none"/>
        </w:rPr>
        <w:t>本次采购的</w:t>
      </w:r>
      <w:r>
        <w:rPr>
          <w:rFonts w:hint="eastAsia"/>
          <w:sz w:val="24"/>
          <w:highlight w:val="none"/>
          <w:lang w:val="en-US" w:eastAsia="zh-CN"/>
        </w:rPr>
        <w:t>技术服务费</w:t>
      </w:r>
      <w:r>
        <w:rPr>
          <w:sz w:val="24"/>
          <w:highlight w:val="none"/>
        </w:rPr>
        <w:t>和耗材将用于</w:t>
      </w:r>
      <w:r>
        <w:rPr>
          <w:rFonts w:hint="eastAsia"/>
          <w:sz w:val="24"/>
          <w:highlight w:val="none"/>
          <w:lang w:val="en-US" w:eastAsia="zh-CN"/>
        </w:rPr>
        <w:t>生物力学与有限元</w:t>
      </w:r>
      <w:r>
        <w:rPr>
          <w:sz w:val="24"/>
          <w:highlight w:val="none"/>
        </w:rPr>
        <w:t>实验等多种科研实验中。这些实验</w:t>
      </w:r>
      <w:r>
        <w:rPr>
          <w:rFonts w:hint="eastAsia"/>
          <w:sz w:val="24"/>
          <w:highlight w:val="none"/>
        </w:rPr>
        <w:t>试剂</w:t>
      </w:r>
      <w:r>
        <w:rPr>
          <w:sz w:val="24"/>
          <w:highlight w:val="none"/>
        </w:rPr>
        <w:t>不仅支持现有科研项目的顺利实施，还为进一步申报和开展高水平的科研项目提供了坚实的技术保障。</w:t>
      </w:r>
    </w:p>
    <w:p w14:paraId="7E4107BB">
      <w:pPr>
        <w:spacing w:line="360" w:lineRule="auto"/>
        <w:ind w:firstLine="482" w:firstLineChars="200"/>
        <w:rPr>
          <w:b/>
          <w:sz w:val="24"/>
          <w:highlight w:val="none"/>
        </w:rPr>
      </w:pPr>
      <w:r>
        <w:rPr>
          <w:rFonts w:hint="eastAsia"/>
          <w:b/>
          <w:sz w:val="24"/>
          <w:highlight w:val="none"/>
        </w:rPr>
        <w:t>二</w:t>
      </w:r>
      <w:r>
        <w:rPr>
          <w:b/>
          <w:sz w:val="24"/>
          <w:highlight w:val="none"/>
        </w:rPr>
        <w:t>、项目预算</w:t>
      </w:r>
    </w:p>
    <w:p w14:paraId="6A1C5FE2">
      <w:pPr>
        <w:pStyle w:val="5"/>
        <w:rPr>
          <w:rFonts w:hint="eastAsia"/>
          <w:highlight w:val="none"/>
          <w:lang w:val="en-US"/>
        </w:rPr>
      </w:pPr>
      <w:r>
        <w:rPr>
          <w:rFonts w:hint="eastAsia"/>
          <w:highlight w:val="none"/>
          <w:lang w:val="en-US"/>
        </w:rPr>
        <w:t>（一）项目概况</w:t>
      </w:r>
    </w:p>
    <w:p w14:paraId="2420133E">
      <w:pPr>
        <w:pStyle w:val="5"/>
        <w:rPr>
          <w:rFonts w:hint="eastAsia"/>
          <w:highlight w:val="none"/>
          <w:lang w:val="en-US"/>
        </w:rPr>
      </w:pPr>
      <w:r>
        <w:rPr>
          <w:rFonts w:hint="eastAsia"/>
          <w:highlight w:val="none"/>
          <w:lang w:val="en-US"/>
        </w:rPr>
        <w:t xml:space="preserve">  </w:t>
      </w:r>
      <w:bookmarkStart w:id="0" w:name="_Hlk180752090"/>
      <w:r>
        <w:rPr>
          <w:rFonts w:hint="eastAsia"/>
          <w:highlight w:val="none"/>
          <w:lang w:val="en-US"/>
        </w:rPr>
        <w:t>实验用耗材</w:t>
      </w:r>
      <w:r>
        <w:rPr>
          <w:rFonts w:hint="eastAsia"/>
          <w:highlight w:val="none"/>
          <w:lang w:val="en-US" w:eastAsia="zh-CN"/>
        </w:rPr>
        <w:t>费、技术服务费</w:t>
      </w:r>
      <w:r>
        <w:rPr>
          <w:rFonts w:hint="eastAsia"/>
          <w:highlight w:val="none"/>
          <w:lang w:val="en-US"/>
        </w:rPr>
        <w:t>采购</w:t>
      </w:r>
      <w:bookmarkEnd w:id="0"/>
      <w:r>
        <w:rPr>
          <w:rFonts w:hint="eastAsia"/>
          <w:highlight w:val="none"/>
          <w:lang w:val="en-US"/>
        </w:rPr>
        <w:t xml:space="preserve">项目                                    </w:t>
      </w:r>
    </w:p>
    <w:p w14:paraId="6367AB9D">
      <w:pPr>
        <w:pStyle w:val="5"/>
        <w:rPr>
          <w:rFonts w:hint="eastAsia"/>
          <w:highlight w:val="none"/>
          <w:lang w:val="en-US"/>
        </w:rPr>
      </w:pPr>
      <w:r>
        <w:rPr>
          <w:rFonts w:hint="eastAsia"/>
          <w:highlight w:val="none"/>
          <w:lang w:val="en-US"/>
        </w:rPr>
        <w:t>（二）采购项目预（概）算是否已落实</w:t>
      </w:r>
    </w:p>
    <w:p w14:paraId="7E885B6F">
      <w:pPr>
        <w:pStyle w:val="5"/>
        <w:rPr>
          <w:rFonts w:hint="eastAsia"/>
          <w:highlight w:val="none"/>
          <w:lang w:val="en-US"/>
        </w:rPr>
      </w:pPr>
      <w:r>
        <w:rPr>
          <w:rFonts w:hint="eastAsia"/>
          <w:highlight w:val="none"/>
          <w:lang w:val="en-US"/>
        </w:rPr>
        <w:t xml:space="preserve">    是。资金来源于“</w:t>
      </w:r>
      <w:r>
        <w:rPr>
          <w:rFonts w:hint="eastAsia" w:ascii="Times New Roman" w:hAnsi="Times New Roman" w:eastAsia="宋体" w:cs="Helvetica"/>
          <w:i w:val="0"/>
          <w:iCs w:val="0"/>
          <w:caps w:val="0"/>
          <w:color w:val="333333"/>
          <w:spacing w:val="0"/>
          <w:sz w:val="24"/>
          <w:szCs w:val="24"/>
          <w:highlight w:val="none"/>
          <w:lang w:val="en-US" w:eastAsia="zh-CN"/>
        </w:rPr>
        <w:t>天津中医药大学骨伤研究所开放课题</w:t>
      </w:r>
      <w:r>
        <w:rPr>
          <w:rFonts w:hint="default" w:ascii="Times New Roman" w:hAnsi="Times New Roman" w:eastAsia="宋体" w:cs="Helvetica"/>
          <w:i w:val="0"/>
          <w:iCs w:val="0"/>
          <w:caps w:val="0"/>
          <w:color w:val="333333"/>
          <w:spacing w:val="0"/>
          <w:sz w:val="24"/>
          <w:szCs w:val="24"/>
          <w:highlight w:val="none"/>
        </w:rPr>
        <w:t>《</w:t>
      </w:r>
      <w:r>
        <w:rPr>
          <w:rFonts w:hint="eastAsia" w:ascii="Times New Roman" w:hAnsi="Times New Roman" w:eastAsia="宋体" w:cs="Helvetica"/>
          <w:i w:val="0"/>
          <w:iCs w:val="0"/>
          <w:caps w:val="0"/>
          <w:color w:val="333333"/>
          <w:spacing w:val="0"/>
          <w:sz w:val="24"/>
          <w:szCs w:val="24"/>
          <w:highlight w:val="none"/>
          <w:lang w:val="en-US" w:eastAsia="zh-CN"/>
        </w:rPr>
        <w:t>金针复位技术治疗锁骨骨折的有限元分析与生物力学研究</w:t>
      </w:r>
      <w:r>
        <w:rPr>
          <w:rFonts w:hint="default" w:ascii="Times New Roman" w:hAnsi="Times New Roman" w:eastAsia="宋体" w:cs="Helvetica"/>
          <w:i w:val="0"/>
          <w:iCs w:val="0"/>
          <w:caps w:val="0"/>
          <w:color w:val="333333"/>
          <w:spacing w:val="0"/>
          <w:sz w:val="24"/>
          <w:szCs w:val="24"/>
          <w:highlight w:val="none"/>
        </w:rPr>
        <w:t>》（项目编号2024GSY0</w:t>
      </w:r>
      <w:r>
        <w:rPr>
          <w:rFonts w:hint="eastAsia" w:ascii="Times New Roman" w:hAnsi="Times New Roman" w:eastAsia="宋体" w:cs="Helvetica"/>
          <w:i w:val="0"/>
          <w:iCs w:val="0"/>
          <w:caps w:val="0"/>
          <w:color w:val="333333"/>
          <w:spacing w:val="0"/>
          <w:sz w:val="24"/>
          <w:szCs w:val="24"/>
          <w:highlight w:val="none"/>
          <w:lang w:val="en-US" w:eastAsia="zh-CN"/>
        </w:rPr>
        <w:t>3）</w:t>
      </w:r>
      <w:r>
        <w:rPr>
          <w:rFonts w:hint="eastAsia"/>
          <w:highlight w:val="none"/>
          <w:lang w:val="en-US" w:eastAsia="zh-CN"/>
        </w:rPr>
        <w:t xml:space="preserve"> </w:t>
      </w:r>
      <w:r>
        <w:rPr>
          <w:rFonts w:hint="eastAsia"/>
          <w:highlight w:val="none"/>
          <w:lang w:val="en-US"/>
        </w:rPr>
        <w:t>”项目的预算额度。</w:t>
      </w:r>
    </w:p>
    <w:p w14:paraId="7A905F1D">
      <w:pPr>
        <w:pStyle w:val="5"/>
        <w:rPr>
          <w:rFonts w:hint="eastAsia"/>
          <w:highlight w:val="none"/>
          <w:lang w:val="en-US"/>
        </w:rPr>
      </w:pPr>
      <w:r>
        <w:rPr>
          <w:rFonts w:hint="eastAsia"/>
          <w:highlight w:val="none"/>
          <w:lang w:val="en-US"/>
        </w:rPr>
        <w:t>（三）采购项目预（概）算</w:t>
      </w:r>
    </w:p>
    <w:p w14:paraId="06D18A60">
      <w:pPr>
        <w:pStyle w:val="5"/>
        <w:rPr>
          <w:rFonts w:hint="eastAsia"/>
          <w:highlight w:val="none"/>
          <w:lang w:val="en-US"/>
        </w:rPr>
      </w:pPr>
      <w:r>
        <w:rPr>
          <w:rFonts w:hint="eastAsia"/>
          <w:highlight w:val="none"/>
          <w:lang w:val="en-US"/>
        </w:rPr>
        <w:t>总预（概）算：</w:t>
      </w:r>
      <w:r>
        <w:rPr>
          <w:rFonts w:hint="eastAsia"/>
          <w:highlight w:val="none"/>
          <w:lang w:val="en-US" w:eastAsia="zh-CN"/>
        </w:rPr>
        <w:t>175</w:t>
      </w:r>
      <w:r>
        <w:rPr>
          <w:rFonts w:hint="eastAsia"/>
          <w:highlight w:val="none"/>
          <w:lang w:val="en-US"/>
        </w:rPr>
        <w:t xml:space="preserve">000元 。     </w:t>
      </w:r>
    </w:p>
    <w:p w14:paraId="330E50F3">
      <w:pPr>
        <w:pStyle w:val="5"/>
        <w:rPr>
          <w:rFonts w:hint="eastAsia"/>
          <w:highlight w:val="none"/>
          <w:lang w:val="en-US"/>
        </w:rPr>
      </w:pPr>
      <w:r>
        <w:rPr>
          <w:rFonts w:hint="eastAsia"/>
          <w:highlight w:val="none"/>
          <w:lang w:val="en-US"/>
        </w:rPr>
        <w:t>（三）采购标的汇总表</w:t>
      </w:r>
    </w:p>
    <w:tbl>
      <w:tblPr>
        <w:tblStyle w:val="3"/>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843"/>
        <w:gridCol w:w="1276"/>
        <w:gridCol w:w="992"/>
        <w:gridCol w:w="1273"/>
        <w:gridCol w:w="1273"/>
        <w:gridCol w:w="1273"/>
      </w:tblGrid>
      <w:tr w14:paraId="101C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850" w:type="dxa"/>
            <w:noWrap w:val="0"/>
            <w:vAlign w:val="center"/>
          </w:tcPr>
          <w:p w14:paraId="78011C93">
            <w:pPr>
              <w:spacing w:line="560" w:lineRule="exact"/>
              <w:jc w:val="center"/>
              <w:rPr>
                <w:rFonts w:hint="eastAsia"/>
                <w:sz w:val="24"/>
                <w:szCs w:val="22"/>
                <w:highlight w:val="none"/>
              </w:rPr>
            </w:pPr>
            <w:r>
              <w:rPr>
                <w:rFonts w:hint="eastAsia"/>
                <w:sz w:val="24"/>
                <w:szCs w:val="22"/>
                <w:highlight w:val="none"/>
              </w:rPr>
              <w:t>序号</w:t>
            </w:r>
          </w:p>
        </w:tc>
        <w:tc>
          <w:tcPr>
            <w:tcW w:w="1843" w:type="dxa"/>
            <w:noWrap w:val="0"/>
            <w:vAlign w:val="center"/>
          </w:tcPr>
          <w:p w14:paraId="3E165593">
            <w:pPr>
              <w:spacing w:line="560" w:lineRule="exact"/>
              <w:jc w:val="center"/>
              <w:rPr>
                <w:rFonts w:hint="eastAsia"/>
                <w:sz w:val="24"/>
                <w:szCs w:val="22"/>
                <w:highlight w:val="none"/>
              </w:rPr>
            </w:pPr>
            <w:r>
              <w:rPr>
                <w:rFonts w:hint="eastAsia"/>
                <w:sz w:val="24"/>
                <w:szCs w:val="22"/>
                <w:highlight w:val="none"/>
              </w:rPr>
              <w:t>标的名称</w:t>
            </w:r>
          </w:p>
        </w:tc>
        <w:tc>
          <w:tcPr>
            <w:tcW w:w="1276" w:type="dxa"/>
            <w:noWrap w:val="0"/>
            <w:vAlign w:val="center"/>
          </w:tcPr>
          <w:p w14:paraId="0A95142D">
            <w:pPr>
              <w:spacing w:line="560" w:lineRule="exact"/>
              <w:jc w:val="center"/>
              <w:rPr>
                <w:rFonts w:hint="eastAsia"/>
                <w:sz w:val="24"/>
                <w:szCs w:val="22"/>
                <w:highlight w:val="none"/>
              </w:rPr>
            </w:pPr>
            <w:r>
              <w:rPr>
                <w:rFonts w:hint="eastAsia"/>
                <w:sz w:val="24"/>
                <w:szCs w:val="22"/>
                <w:highlight w:val="none"/>
              </w:rPr>
              <w:t>计量</w:t>
            </w:r>
          </w:p>
          <w:p w14:paraId="10CCD075">
            <w:pPr>
              <w:spacing w:line="560" w:lineRule="exact"/>
              <w:jc w:val="center"/>
              <w:rPr>
                <w:rFonts w:hint="eastAsia"/>
                <w:sz w:val="24"/>
                <w:szCs w:val="22"/>
                <w:highlight w:val="none"/>
              </w:rPr>
            </w:pPr>
            <w:r>
              <w:rPr>
                <w:rFonts w:hint="eastAsia"/>
                <w:sz w:val="24"/>
                <w:szCs w:val="22"/>
                <w:highlight w:val="none"/>
              </w:rPr>
              <w:t>单位</w:t>
            </w:r>
          </w:p>
        </w:tc>
        <w:tc>
          <w:tcPr>
            <w:tcW w:w="992" w:type="dxa"/>
            <w:noWrap w:val="0"/>
            <w:vAlign w:val="center"/>
          </w:tcPr>
          <w:p w14:paraId="6E358708">
            <w:pPr>
              <w:spacing w:line="560" w:lineRule="exact"/>
              <w:jc w:val="center"/>
              <w:rPr>
                <w:rFonts w:hint="eastAsia"/>
                <w:sz w:val="24"/>
                <w:szCs w:val="22"/>
                <w:highlight w:val="none"/>
              </w:rPr>
            </w:pPr>
            <w:r>
              <w:rPr>
                <w:rFonts w:hint="eastAsia"/>
                <w:sz w:val="24"/>
                <w:szCs w:val="22"/>
                <w:highlight w:val="none"/>
              </w:rPr>
              <w:t>数量</w:t>
            </w:r>
          </w:p>
        </w:tc>
        <w:tc>
          <w:tcPr>
            <w:tcW w:w="1273" w:type="dxa"/>
            <w:noWrap w:val="0"/>
            <w:vAlign w:val="center"/>
          </w:tcPr>
          <w:p w14:paraId="6A1653ED">
            <w:pPr>
              <w:spacing w:line="560" w:lineRule="exact"/>
              <w:jc w:val="center"/>
              <w:rPr>
                <w:rFonts w:hint="eastAsia"/>
                <w:sz w:val="24"/>
                <w:szCs w:val="22"/>
                <w:highlight w:val="none"/>
              </w:rPr>
            </w:pPr>
            <w:r>
              <w:rPr>
                <w:rFonts w:hint="eastAsia"/>
                <w:sz w:val="24"/>
                <w:szCs w:val="22"/>
                <w:highlight w:val="none"/>
              </w:rPr>
              <w:t>预（概）算</w:t>
            </w:r>
          </w:p>
        </w:tc>
        <w:tc>
          <w:tcPr>
            <w:tcW w:w="1273" w:type="dxa"/>
            <w:noWrap w:val="0"/>
            <w:vAlign w:val="center"/>
          </w:tcPr>
          <w:p w14:paraId="7A5CB2E6">
            <w:pPr>
              <w:widowControl/>
              <w:jc w:val="center"/>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是否接受进口产品</w:t>
            </w:r>
          </w:p>
        </w:tc>
        <w:tc>
          <w:tcPr>
            <w:tcW w:w="1273" w:type="dxa"/>
            <w:noWrap w:val="0"/>
            <w:vAlign w:val="center"/>
          </w:tcPr>
          <w:p w14:paraId="4B91CCE8">
            <w:pPr>
              <w:widowControl/>
              <w:jc w:val="center"/>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是否属于集采目录内产</w:t>
            </w:r>
          </w:p>
        </w:tc>
      </w:tr>
      <w:tr w14:paraId="12137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50" w:type="dxa"/>
            <w:noWrap w:val="0"/>
            <w:vAlign w:val="center"/>
          </w:tcPr>
          <w:p w14:paraId="6E7DD107">
            <w:pPr>
              <w:adjustRightInd w:val="0"/>
              <w:snapToGrid w:val="0"/>
              <w:spacing w:line="560" w:lineRule="exact"/>
              <w:jc w:val="center"/>
              <w:rPr>
                <w:rFonts w:hint="eastAsia"/>
                <w:sz w:val="24"/>
                <w:szCs w:val="22"/>
                <w:highlight w:val="none"/>
              </w:rPr>
            </w:pPr>
            <w:r>
              <w:rPr>
                <w:rFonts w:hint="eastAsia"/>
                <w:sz w:val="24"/>
                <w:szCs w:val="22"/>
                <w:highlight w:val="none"/>
              </w:rPr>
              <w:t>1</w:t>
            </w:r>
          </w:p>
        </w:tc>
        <w:tc>
          <w:tcPr>
            <w:tcW w:w="1843" w:type="dxa"/>
            <w:noWrap w:val="0"/>
            <w:vAlign w:val="center"/>
          </w:tcPr>
          <w:p w14:paraId="22DA50EC">
            <w:pPr>
              <w:adjustRightInd w:val="0"/>
              <w:snapToGrid w:val="0"/>
              <w:spacing w:line="560" w:lineRule="exact"/>
              <w:jc w:val="center"/>
              <w:rPr>
                <w:rFonts w:hint="eastAsia"/>
                <w:sz w:val="24"/>
                <w:szCs w:val="22"/>
                <w:highlight w:val="none"/>
              </w:rPr>
            </w:pPr>
            <w:r>
              <w:rPr>
                <w:rFonts w:hint="eastAsia"/>
                <w:sz w:val="24"/>
                <w:szCs w:val="22"/>
                <w:highlight w:val="none"/>
              </w:rPr>
              <w:t>天津市滨海新区中医医院实验</w:t>
            </w:r>
            <w:r>
              <w:rPr>
                <w:rFonts w:hint="eastAsia"/>
                <w:sz w:val="24"/>
                <w:szCs w:val="22"/>
                <w:highlight w:val="none"/>
                <w:lang w:val="en-US" w:eastAsia="zh-CN"/>
              </w:rPr>
              <w:t>技术服务费</w:t>
            </w:r>
            <w:r>
              <w:rPr>
                <w:rFonts w:hint="eastAsia"/>
                <w:sz w:val="24"/>
                <w:szCs w:val="22"/>
                <w:highlight w:val="none"/>
              </w:rPr>
              <w:t>、耗材</w:t>
            </w:r>
            <w:r>
              <w:rPr>
                <w:rFonts w:hint="eastAsia"/>
                <w:sz w:val="24"/>
                <w:szCs w:val="22"/>
                <w:highlight w:val="none"/>
                <w:lang w:val="en-US" w:eastAsia="zh-CN"/>
              </w:rPr>
              <w:t>费</w:t>
            </w:r>
            <w:r>
              <w:rPr>
                <w:rFonts w:hint="eastAsia"/>
                <w:sz w:val="24"/>
                <w:szCs w:val="22"/>
                <w:highlight w:val="none"/>
              </w:rPr>
              <w:t>采购</w:t>
            </w:r>
          </w:p>
        </w:tc>
        <w:tc>
          <w:tcPr>
            <w:tcW w:w="1276" w:type="dxa"/>
            <w:noWrap w:val="0"/>
            <w:vAlign w:val="center"/>
          </w:tcPr>
          <w:p w14:paraId="1DCE8A27">
            <w:pPr>
              <w:adjustRightInd w:val="0"/>
              <w:snapToGrid w:val="0"/>
              <w:spacing w:line="560" w:lineRule="exact"/>
              <w:jc w:val="center"/>
              <w:rPr>
                <w:rFonts w:hint="eastAsia"/>
                <w:sz w:val="24"/>
                <w:szCs w:val="22"/>
                <w:highlight w:val="none"/>
              </w:rPr>
            </w:pPr>
            <w:r>
              <w:rPr>
                <w:rFonts w:hint="eastAsia"/>
                <w:sz w:val="24"/>
                <w:szCs w:val="22"/>
                <w:highlight w:val="none"/>
              </w:rPr>
              <w:t>包</w:t>
            </w:r>
          </w:p>
        </w:tc>
        <w:tc>
          <w:tcPr>
            <w:tcW w:w="992" w:type="dxa"/>
            <w:noWrap w:val="0"/>
            <w:vAlign w:val="center"/>
          </w:tcPr>
          <w:p w14:paraId="03F4AC06">
            <w:pPr>
              <w:adjustRightInd w:val="0"/>
              <w:snapToGrid w:val="0"/>
              <w:spacing w:line="560" w:lineRule="exact"/>
              <w:jc w:val="center"/>
              <w:rPr>
                <w:rFonts w:hint="eastAsia"/>
                <w:sz w:val="24"/>
                <w:szCs w:val="22"/>
                <w:highlight w:val="none"/>
              </w:rPr>
            </w:pPr>
            <w:r>
              <w:rPr>
                <w:rFonts w:hint="eastAsia"/>
                <w:sz w:val="24"/>
                <w:szCs w:val="22"/>
                <w:highlight w:val="none"/>
              </w:rPr>
              <w:t>1</w:t>
            </w:r>
          </w:p>
        </w:tc>
        <w:tc>
          <w:tcPr>
            <w:tcW w:w="1273" w:type="dxa"/>
            <w:noWrap w:val="0"/>
            <w:vAlign w:val="center"/>
          </w:tcPr>
          <w:p w14:paraId="0B48016F">
            <w:pPr>
              <w:adjustRightInd w:val="0"/>
              <w:snapToGrid w:val="0"/>
              <w:spacing w:line="560" w:lineRule="exact"/>
              <w:jc w:val="center"/>
              <w:rPr>
                <w:rFonts w:hint="eastAsia"/>
                <w:sz w:val="24"/>
                <w:szCs w:val="22"/>
                <w:highlight w:val="none"/>
              </w:rPr>
            </w:pPr>
            <w:r>
              <w:rPr>
                <w:rFonts w:hint="eastAsia"/>
                <w:sz w:val="24"/>
                <w:szCs w:val="22"/>
                <w:highlight w:val="none"/>
                <w:lang w:val="en-US" w:eastAsia="zh-CN"/>
              </w:rPr>
              <w:t>175</w:t>
            </w:r>
            <w:r>
              <w:rPr>
                <w:rFonts w:hint="eastAsia"/>
                <w:sz w:val="24"/>
                <w:szCs w:val="22"/>
                <w:highlight w:val="none"/>
              </w:rPr>
              <w:t>000元</w:t>
            </w:r>
          </w:p>
        </w:tc>
        <w:tc>
          <w:tcPr>
            <w:tcW w:w="1273" w:type="dxa"/>
            <w:noWrap w:val="0"/>
            <w:vAlign w:val="center"/>
          </w:tcPr>
          <w:p w14:paraId="486357A4">
            <w:pPr>
              <w:widowControl/>
              <w:jc w:val="center"/>
              <w:rPr>
                <w:rFonts w:hint="eastAsia" w:ascii="宋体" w:hAnsi="宋体" w:eastAsia="宋体" w:cs="宋体"/>
                <w:color w:val="000000"/>
                <w:kern w:val="0"/>
                <w:sz w:val="22"/>
                <w:szCs w:val="22"/>
                <w:highlight w:val="none"/>
                <w:lang w:eastAsia="zh-CN"/>
              </w:rPr>
            </w:pPr>
            <w:r>
              <w:rPr>
                <w:rFonts w:hint="eastAsia" w:ascii="宋体" w:hAnsi="宋体" w:cs="宋体"/>
                <w:color w:val="000000"/>
                <w:kern w:val="0"/>
                <w:sz w:val="22"/>
                <w:szCs w:val="22"/>
                <w:highlight w:val="none"/>
                <w:lang w:val="en-US" w:eastAsia="zh-CN"/>
              </w:rPr>
              <w:t>否</w:t>
            </w:r>
          </w:p>
        </w:tc>
        <w:tc>
          <w:tcPr>
            <w:tcW w:w="1273" w:type="dxa"/>
            <w:noWrap w:val="0"/>
            <w:vAlign w:val="center"/>
          </w:tcPr>
          <w:p w14:paraId="472F8B42">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否</w:t>
            </w:r>
          </w:p>
        </w:tc>
      </w:tr>
    </w:tbl>
    <w:p w14:paraId="42A57CDD">
      <w:pPr>
        <w:spacing w:line="360" w:lineRule="auto"/>
        <w:ind w:firstLine="482" w:firstLineChars="200"/>
        <w:rPr>
          <w:rFonts w:hint="eastAsia" w:ascii="宋体" w:hAnsi="宋体"/>
          <w:b/>
          <w:sz w:val="24"/>
          <w:highlight w:val="none"/>
        </w:rPr>
      </w:pPr>
      <w:r>
        <w:rPr>
          <w:rFonts w:hint="eastAsia" w:ascii="宋体" w:hAnsi="宋体"/>
          <w:b/>
          <w:sz w:val="24"/>
          <w:highlight w:val="none"/>
        </w:rPr>
        <w:t>三、资格要求</w:t>
      </w:r>
    </w:p>
    <w:p w14:paraId="7049361A">
      <w:pPr>
        <w:spacing w:line="360" w:lineRule="auto"/>
        <w:ind w:firstLine="480" w:firstLineChars="200"/>
        <w:rPr>
          <w:rFonts w:ascii="宋体" w:hAnsi="宋体"/>
          <w:sz w:val="24"/>
          <w:highlight w:val="none"/>
        </w:rPr>
      </w:pPr>
      <w:r>
        <w:rPr>
          <w:rFonts w:hint="eastAsia"/>
          <w:sz w:val="24"/>
          <w:highlight w:val="none"/>
        </w:rPr>
        <w:t>（一）</w:t>
      </w:r>
      <w:r>
        <w:rPr>
          <w:rFonts w:hint="eastAsia" w:ascii="宋体" w:hAnsi="宋体"/>
          <w:sz w:val="24"/>
          <w:highlight w:val="none"/>
        </w:rPr>
        <w:t>根据现行法律法规的要求，设置供应商投标的特定资格条件。</w:t>
      </w:r>
    </w:p>
    <w:p w14:paraId="2620D5A9">
      <w:pPr>
        <w:pStyle w:val="5"/>
        <w:rPr>
          <w:highlight w:val="none"/>
          <w:lang w:val="en-US"/>
        </w:rPr>
      </w:pPr>
      <w:r>
        <w:rPr>
          <w:highlight w:val="none"/>
          <w:lang w:val="en-US"/>
        </w:rPr>
        <w:t>按照《财政部关于在政府采购活动中查询及使用信用记录有关问题的通知》（财库〔2016〕125号）的要求，采购代理机构于响应文件开启当日响应文件开启时间之前打印的信用中国、中国政府采购网的查询结果信用记录未列入失信被执行人、重大税收违法案件当事人名单、政府采购严重违法失信行为记录名单。</w:t>
      </w:r>
    </w:p>
    <w:p w14:paraId="3013F15D">
      <w:pPr>
        <w:pStyle w:val="5"/>
        <w:ind w:firstLineChars="0"/>
        <w:rPr>
          <w:rFonts w:hint="eastAsia"/>
          <w:color w:val="FF0000"/>
          <w:highlight w:val="none"/>
        </w:rPr>
      </w:pPr>
      <w:r>
        <w:rPr>
          <w:rFonts w:hint="eastAsia"/>
          <w:highlight w:val="none"/>
        </w:rPr>
        <w:t>（二）</w:t>
      </w:r>
      <w:r>
        <w:rPr>
          <w:rFonts w:hint="eastAsia"/>
          <w:highlight w:val="none"/>
          <w:lang w:eastAsia="zh-CN"/>
        </w:rPr>
        <w:t>供应商</w:t>
      </w:r>
      <w:r>
        <w:rPr>
          <w:rFonts w:hint="eastAsia"/>
          <w:highlight w:val="none"/>
        </w:rPr>
        <w:t>具备《中华人民共和国政府采购法》第二十二条第一款规定的条件，提供以下材料：</w:t>
      </w:r>
    </w:p>
    <w:p w14:paraId="48713B70">
      <w:pPr>
        <w:spacing w:line="360" w:lineRule="auto"/>
        <w:ind w:firstLine="480" w:firstLineChars="200"/>
        <w:rPr>
          <w:rFonts w:hint="eastAsia"/>
          <w:sz w:val="24"/>
          <w:highlight w:val="none"/>
        </w:rPr>
      </w:pPr>
      <w:r>
        <w:rPr>
          <w:rFonts w:hint="eastAsia"/>
          <w:sz w:val="24"/>
          <w:highlight w:val="none"/>
        </w:rPr>
        <w:t>1.营业执照副本或事业单位法人证书或民办非企业单位登记证书或社会团体法人登记证书或基金会法人登记证书扫描件或复印件并加盖公章。</w:t>
      </w:r>
    </w:p>
    <w:p w14:paraId="4351DC1C">
      <w:pPr>
        <w:spacing w:line="360" w:lineRule="auto"/>
        <w:ind w:firstLine="480" w:firstLineChars="200"/>
        <w:rPr>
          <w:rFonts w:hint="eastAsia"/>
          <w:sz w:val="24"/>
          <w:highlight w:val="none"/>
        </w:rPr>
      </w:pPr>
      <w:bookmarkStart w:id="1" w:name="OLE_LINK5"/>
      <w:r>
        <w:rPr>
          <w:rFonts w:hint="eastAsia"/>
          <w:sz w:val="24"/>
          <w:highlight w:val="none"/>
        </w:rPr>
        <w:t>2.财务状况报告等相关材料：提供2024年经第三方会计师事务所审计的企业财务报告扫描件（应包括完整的审计报告和财务报表）或提交响应文件截止日期前近3个月内银行出</w:t>
      </w:r>
      <w:r>
        <w:rPr>
          <w:rFonts w:hint="eastAsia"/>
          <w:sz w:val="24"/>
          <w:highlight w:val="none"/>
          <w:lang w:val="en-US" w:eastAsia="zh-CN"/>
        </w:rPr>
        <w:t xml:space="preserve"> </w:t>
      </w:r>
      <w:r>
        <w:rPr>
          <w:rFonts w:hint="eastAsia"/>
          <w:sz w:val="24"/>
          <w:highlight w:val="none"/>
        </w:rPr>
        <w:t>具的资信证明复印件并加盖公章。</w:t>
      </w:r>
    </w:p>
    <w:p w14:paraId="157E0613">
      <w:pPr>
        <w:spacing w:line="360" w:lineRule="auto"/>
        <w:ind w:firstLine="480" w:firstLineChars="200"/>
        <w:rPr>
          <w:rFonts w:hint="eastAsia"/>
          <w:sz w:val="24"/>
          <w:highlight w:val="none"/>
        </w:rPr>
      </w:pPr>
      <w:r>
        <w:rPr>
          <w:rFonts w:hint="eastAsia"/>
          <w:sz w:val="24"/>
          <w:highlight w:val="none"/>
        </w:rPr>
        <w:t>3.2025年至少1个月的依法缴纳税收和社会保险费的相关证明材料扫描件或复印件并加盖公章。</w:t>
      </w:r>
    </w:p>
    <w:bookmarkEnd w:id="1"/>
    <w:p w14:paraId="54F2C69E">
      <w:pPr>
        <w:spacing w:line="360" w:lineRule="auto"/>
        <w:ind w:firstLine="480" w:firstLineChars="200"/>
        <w:rPr>
          <w:rFonts w:hint="eastAsia"/>
          <w:sz w:val="24"/>
          <w:highlight w:val="none"/>
        </w:rPr>
      </w:pPr>
      <w:r>
        <w:rPr>
          <w:rFonts w:hint="eastAsia"/>
          <w:sz w:val="24"/>
          <w:highlight w:val="none"/>
        </w:rPr>
        <w:t>4.提交响应文件截止日前3年在经营活动中没有重大违法记录的书面声明（提交响应文件截止日前成立不足3年的供应商可提供自成立以来无重大违法记录的书面声明）并加盖公章。</w:t>
      </w:r>
    </w:p>
    <w:p w14:paraId="453B79BD">
      <w:pPr>
        <w:pStyle w:val="2"/>
        <w:widowControl/>
        <w:shd w:val="clear" w:color="auto" w:fill="FFFFFF"/>
        <w:adjustRightInd w:val="0"/>
        <w:snapToGrid w:val="0"/>
        <w:spacing w:before="0" w:beforeAutospacing="0" w:after="0" w:afterAutospacing="0" w:line="500" w:lineRule="exact"/>
        <w:ind w:firstLine="480" w:firstLineChars="200"/>
        <w:rPr>
          <w:highlight w:val="none"/>
        </w:rPr>
      </w:pPr>
      <w:r>
        <w:rPr>
          <w:rFonts w:hint="eastAsia"/>
          <w:highlight w:val="none"/>
        </w:rPr>
        <w:t>5.</w:t>
      </w:r>
      <w:r>
        <w:rPr>
          <w:rFonts w:hint="eastAsia" w:ascii="Calibri" w:hAnsi="Calibri"/>
          <w:kern w:val="2"/>
          <w:szCs w:val="22"/>
          <w:highlight w:val="none"/>
        </w:rPr>
        <w:t>供应商须由法定代表人或其授权的委托代理人参加磋商。供应商若为法定代表人参加磋商，需提供法定代表人资格证明书（须加盖投标单位公章）；供应商若为供应商代表参加磋商，须提供法定代表人授权书（须由法定代表人签字或盖章）和供应商代表身份证原件。</w:t>
      </w:r>
    </w:p>
    <w:p w14:paraId="3F58593D">
      <w:pPr>
        <w:spacing w:line="360" w:lineRule="auto"/>
        <w:ind w:firstLine="480" w:firstLineChars="200"/>
        <w:rPr>
          <w:rFonts w:hint="eastAsia"/>
          <w:sz w:val="24"/>
          <w:highlight w:val="none"/>
        </w:rPr>
      </w:pPr>
      <w:r>
        <w:rPr>
          <w:rFonts w:hint="eastAsia"/>
          <w:sz w:val="24"/>
          <w:highlight w:val="none"/>
        </w:rPr>
        <w:t>（三）本项目</w:t>
      </w:r>
      <w:r>
        <w:rPr>
          <w:rFonts w:hint="eastAsia"/>
          <w:sz w:val="24"/>
          <w:highlight w:val="none"/>
          <w:lang w:eastAsia="zh-CN"/>
        </w:rPr>
        <w:t>不接受</w:t>
      </w:r>
      <w:r>
        <w:rPr>
          <w:rFonts w:hint="eastAsia"/>
          <w:sz w:val="24"/>
          <w:highlight w:val="none"/>
        </w:rPr>
        <w:t>联合体，不允许分包、转包。</w:t>
      </w:r>
    </w:p>
    <w:p w14:paraId="22DC94AA">
      <w:pPr>
        <w:spacing w:line="360" w:lineRule="auto"/>
        <w:ind w:firstLine="480" w:firstLineChars="200"/>
        <w:rPr>
          <w:sz w:val="24"/>
          <w:highlight w:val="none"/>
        </w:rPr>
      </w:pPr>
      <w:r>
        <w:rPr>
          <w:rFonts w:hint="eastAsia"/>
          <w:sz w:val="24"/>
          <w:highlight w:val="none"/>
        </w:rPr>
        <w:t>（四）本项目所面向企业规模</w:t>
      </w:r>
    </w:p>
    <w:p w14:paraId="4DDF2278">
      <w:pPr>
        <w:spacing w:line="360" w:lineRule="auto"/>
        <w:ind w:firstLine="480" w:firstLineChars="200"/>
        <w:rPr>
          <w:sz w:val="24"/>
          <w:highlight w:val="none"/>
        </w:rPr>
      </w:pPr>
      <w:r>
        <w:rPr>
          <w:rFonts w:hint="eastAsia"/>
          <w:sz w:val="24"/>
          <w:highlight w:val="none"/>
        </w:rPr>
        <w:t>根据《政府采购促进中小企业发展管理办法》（财库〔2020〕46号）和财政部《关于进一步加大政府采购支持中小企业力度的通知》（财库〔2022〕19号），政府采购活动鼓励优先支持中小企业，特别是小型、微型企业。但结合本项目的实际需求，拟采购的实验用试剂、耗材及测试分析服务需要高度专业化的技术支持和设备保障，供应商需具备较强的科研技术能力、丰富的行业经验以及稳定的售后服务能力。鉴于上述要求，本项目不对供应商的规模进行专门限制，也未专门面向中小企业。</w:t>
      </w:r>
    </w:p>
    <w:p w14:paraId="32D12C21">
      <w:pPr>
        <w:spacing w:line="360" w:lineRule="auto"/>
        <w:ind w:firstLine="480" w:firstLineChars="200"/>
        <w:rPr>
          <w:rFonts w:hint="eastAsia"/>
          <w:sz w:val="24"/>
          <w:highlight w:val="none"/>
        </w:rPr>
      </w:pPr>
      <w:r>
        <w:rPr>
          <w:rFonts w:hint="eastAsia"/>
          <w:sz w:val="24"/>
          <w:highlight w:val="none"/>
        </w:rPr>
        <w:t>虽然本次采购项目非专门面向中小企业，但我们将在评审过程中严格执行现行政策，对小型、微型企业的投标给予20%的价格扣除，以保障中小企业的参与机会和公平竞争。同时，所有符合要求的供应商均可参与本项目</w:t>
      </w:r>
      <w:r>
        <w:rPr>
          <w:rFonts w:hint="eastAsia"/>
          <w:sz w:val="24"/>
          <w:highlight w:val="none"/>
          <w:lang w:val="en-US" w:eastAsia="zh-CN"/>
        </w:rPr>
        <w:t>磋商</w:t>
      </w:r>
      <w:r>
        <w:rPr>
          <w:rFonts w:hint="eastAsia"/>
          <w:sz w:val="24"/>
          <w:highlight w:val="none"/>
        </w:rPr>
        <w:t>，确保公开、公正的竞争环境。</w:t>
      </w:r>
    </w:p>
    <w:p w14:paraId="2940DB04">
      <w:pPr>
        <w:pStyle w:val="5"/>
        <w:ind w:firstLine="482"/>
        <w:rPr>
          <w:rFonts w:hint="eastAsia"/>
          <w:b/>
          <w:bCs/>
          <w:highlight w:val="none"/>
          <w:lang w:val="en-US"/>
        </w:rPr>
      </w:pPr>
      <w:r>
        <w:rPr>
          <w:rFonts w:hint="eastAsia"/>
          <w:b/>
          <w:bCs/>
          <w:highlight w:val="none"/>
          <w:lang w:val="en-US"/>
        </w:rPr>
        <w:t>四、技术要求</w:t>
      </w:r>
    </w:p>
    <w:p w14:paraId="2C0F3384">
      <w:pPr>
        <w:pStyle w:val="5"/>
        <w:rPr>
          <w:rFonts w:hint="eastAsia"/>
          <w:highlight w:val="none"/>
          <w:lang w:val="en-US"/>
        </w:rPr>
      </w:pPr>
      <w:r>
        <w:rPr>
          <w:rFonts w:hint="eastAsia"/>
          <w:highlight w:val="none"/>
          <w:lang w:val="en-US"/>
        </w:rPr>
        <w:t>1.产品质量标准</w:t>
      </w:r>
    </w:p>
    <w:p w14:paraId="6D95B8D9">
      <w:pPr>
        <w:pStyle w:val="5"/>
        <w:rPr>
          <w:rFonts w:hint="eastAsia"/>
          <w:highlight w:val="none"/>
          <w:lang w:val="en-US"/>
        </w:rPr>
      </w:pPr>
      <w:r>
        <w:rPr>
          <w:rFonts w:hint="eastAsia"/>
          <w:highlight w:val="none"/>
          <w:lang w:val="en-US"/>
        </w:rPr>
        <w:t>所有实验用试剂和耗材必须符合国家及行业相关标准，确保产品为全新、未使用的原装正品。供应商需提供产品的合格证书和相关检测报告，确保符合采购人的质量要求。</w:t>
      </w:r>
    </w:p>
    <w:p w14:paraId="502DBD3D">
      <w:pPr>
        <w:pStyle w:val="5"/>
        <w:rPr>
          <w:rFonts w:hint="eastAsia"/>
          <w:highlight w:val="none"/>
          <w:lang w:val="en-US"/>
        </w:rPr>
      </w:pPr>
      <w:r>
        <w:rPr>
          <w:rFonts w:hint="eastAsia"/>
          <w:highlight w:val="none"/>
          <w:lang w:val="en-US"/>
        </w:rPr>
        <w:t>试剂的纯度、稳定性、有效期等核心参数需满足实验使用要求，特别是抗体类产品需保证活性和特异性，并确保提供的数据符合科研需求。</w:t>
      </w:r>
    </w:p>
    <w:p w14:paraId="17235D40">
      <w:pPr>
        <w:pStyle w:val="5"/>
        <w:rPr>
          <w:rFonts w:hint="eastAsia"/>
          <w:highlight w:val="none"/>
          <w:lang w:val="en-US"/>
        </w:rPr>
      </w:pPr>
      <w:r>
        <w:rPr>
          <w:rFonts w:hint="eastAsia"/>
          <w:highlight w:val="none"/>
          <w:lang w:val="en-US"/>
        </w:rPr>
        <w:t>2.冷链运输和存储管理</w:t>
      </w:r>
    </w:p>
    <w:p w14:paraId="7AF07098">
      <w:pPr>
        <w:pStyle w:val="5"/>
        <w:rPr>
          <w:rFonts w:hint="eastAsia"/>
          <w:highlight w:val="none"/>
          <w:lang w:val="en-US"/>
        </w:rPr>
      </w:pPr>
      <w:r>
        <w:rPr>
          <w:rFonts w:hint="eastAsia"/>
          <w:highlight w:val="none"/>
          <w:lang w:val="en-US"/>
        </w:rPr>
        <w:t>对于需冷链管理的产品，供应商需具备符合《医疗器械冷链（运输、贮存）管理指南》规定的专业储存和运输条件。所有冷链试剂应确保产品在运输、贮存过程中保持稳定性，防止因温度波动造成质量问题。</w:t>
      </w:r>
    </w:p>
    <w:p w14:paraId="4E4F675C">
      <w:pPr>
        <w:pStyle w:val="5"/>
        <w:rPr>
          <w:rFonts w:hint="eastAsia"/>
          <w:highlight w:val="none"/>
          <w:lang w:val="en-US"/>
        </w:rPr>
      </w:pPr>
      <w:r>
        <w:rPr>
          <w:rFonts w:hint="eastAsia"/>
          <w:highlight w:val="none"/>
          <w:lang w:val="en-US"/>
        </w:rPr>
        <w:t>3.技术支持与培训</w:t>
      </w:r>
    </w:p>
    <w:p w14:paraId="46BAA576">
      <w:pPr>
        <w:pStyle w:val="5"/>
        <w:rPr>
          <w:rFonts w:hint="eastAsia"/>
          <w:highlight w:val="none"/>
          <w:lang w:val="en-US"/>
        </w:rPr>
      </w:pPr>
      <w:r>
        <w:rPr>
          <w:rFonts w:hint="eastAsia"/>
          <w:highlight w:val="none"/>
          <w:lang w:val="en-US"/>
        </w:rPr>
        <w:t>供应商应在项目执行过程中</w:t>
      </w:r>
      <w:r>
        <w:rPr>
          <w:rFonts w:hint="eastAsia" w:ascii="宋体" w:hAnsi="宋体" w:eastAsia="宋体" w:cs="宋体"/>
          <w:b w:val="0"/>
          <w:bCs w:val="0"/>
          <w:sz w:val="24"/>
          <w:szCs w:val="24"/>
          <w:highlight w:val="none"/>
          <w:lang w:val="en-US" w:eastAsia="zh-CN"/>
        </w:rPr>
        <w:t>需要</w:t>
      </w:r>
      <w:r>
        <w:rPr>
          <w:rFonts w:hint="eastAsia"/>
          <w:highlight w:val="none"/>
          <w:lang w:val="en-US" w:eastAsia="zh-CN"/>
        </w:rPr>
        <w:t>阐明</w:t>
      </w:r>
      <w:r>
        <w:rPr>
          <w:rFonts w:hint="eastAsia" w:ascii="宋体" w:hAnsi="宋体" w:eastAsia="宋体" w:cs="宋体"/>
          <w:b w:val="0"/>
          <w:bCs w:val="0"/>
          <w:sz w:val="24"/>
          <w:szCs w:val="24"/>
          <w:highlight w:val="none"/>
        </w:rPr>
        <w:t>金针复位技术</w:t>
      </w:r>
      <w:r>
        <w:rPr>
          <w:rFonts w:hint="eastAsia" w:ascii="宋体" w:hAnsi="宋体" w:eastAsia="宋体" w:cs="宋体"/>
          <w:b w:val="0"/>
          <w:bCs w:val="0"/>
          <w:sz w:val="24"/>
          <w:szCs w:val="24"/>
          <w:highlight w:val="none"/>
          <w:lang w:val="en-US" w:eastAsia="zh-CN"/>
        </w:rPr>
        <w:t>的</w:t>
      </w:r>
      <w:r>
        <w:rPr>
          <w:rFonts w:ascii="Times New Roman" w:hAnsi="Times New Roman" w:cs="Times New Roman"/>
          <w:szCs w:val="24"/>
          <w:highlight w:val="none"/>
        </w:rPr>
        <w:t>刚弹耦合机制，实现</w:t>
      </w:r>
      <w:r>
        <w:rPr>
          <w:rFonts w:hint="eastAsia" w:ascii="Times New Roman" w:hAnsi="Times New Roman" w:cs="Times New Roman"/>
          <w:szCs w:val="24"/>
          <w:highlight w:val="none"/>
        </w:rPr>
        <w:t>“</w:t>
      </w:r>
      <w:r>
        <w:rPr>
          <w:rFonts w:ascii="Times New Roman" w:hAnsi="Times New Roman" w:cs="Times New Roman"/>
          <w:szCs w:val="24"/>
          <w:highlight w:val="none"/>
        </w:rPr>
        <w:t>低应力-微创伤-高稳定</w:t>
      </w:r>
      <w:r>
        <w:rPr>
          <w:rFonts w:hint="eastAsia" w:ascii="Times New Roman" w:hAnsi="Times New Roman" w:cs="Times New Roman"/>
          <w:szCs w:val="24"/>
          <w:highlight w:val="none"/>
        </w:rPr>
        <w:t>”</w:t>
      </w:r>
      <w:r>
        <w:rPr>
          <w:rFonts w:ascii="Times New Roman" w:hAnsi="Times New Roman" w:cs="Times New Roman"/>
          <w:szCs w:val="24"/>
          <w:highlight w:val="none"/>
        </w:rPr>
        <w:t>的动态力学平衡</w:t>
      </w:r>
      <w:r>
        <w:rPr>
          <w:rFonts w:hint="eastAsia" w:ascii="Times New Roman" w:hAnsi="Times New Roman" w:cs="Times New Roman"/>
          <w:szCs w:val="24"/>
          <w:highlight w:val="none"/>
          <w:lang w:eastAsia="zh-CN"/>
        </w:rPr>
        <w:t>，</w:t>
      </w:r>
      <w:r>
        <w:rPr>
          <w:rFonts w:hint="eastAsia"/>
          <w:highlight w:val="none"/>
          <w:lang w:val="en-US"/>
        </w:rPr>
        <w:t>提供必要的技术支持，包括产品使用培训、设备操作指导及实验数据解读等服务，确保采购人能顺利开展各项科研工作。</w:t>
      </w:r>
    </w:p>
    <w:p w14:paraId="32AE7B0D">
      <w:pPr>
        <w:pStyle w:val="5"/>
        <w:rPr>
          <w:highlight w:val="none"/>
          <w:lang w:val="en-US"/>
        </w:rPr>
      </w:pPr>
      <w:r>
        <w:rPr>
          <w:rFonts w:hint="eastAsia"/>
          <w:highlight w:val="none"/>
          <w:lang w:val="en-US"/>
        </w:rPr>
        <w:t>供应商需在产品使用过程中定期提供技术指导，解决实验过程中的技术问题。</w:t>
      </w:r>
    </w:p>
    <w:p w14:paraId="28EF449C">
      <w:pPr>
        <w:pStyle w:val="5"/>
        <w:rPr>
          <w:highlight w:val="none"/>
          <w:lang w:val="en-US"/>
        </w:rPr>
      </w:pPr>
      <w:r>
        <w:rPr>
          <w:rFonts w:hint="eastAsia"/>
          <w:highlight w:val="none"/>
          <w:lang w:val="en-US"/>
        </w:rPr>
        <w:t>4.</w:t>
      </w:r>
      <w:r>
        <w:rPr>
          <w:rFonts w:hint="eastAsia"/>
          <w:highlight w:val="none"/>
        </w:rPr>
        <w:t xml:space="preserve"> </w:t>
      </w:r>
      <w:r>
        <w:rPr>
          <w:rFonts w:hint="eastAsia"/>
          <w:highlight w:val="none"/>
          <w:lang w:val="en-US"/>
        </w:rPr>
        <w:t>预估采购产品品种：具体供应品种、规格型号、数量等，以采购人实际需求为准。</w:t>
      </w:r>
    </w:p>
    <w:tbl>
      <w:tblPr>
        <w:tblStyle w:val="3"/>
        <w:tblW w:w="8577" w:type="dxa"/>
        <w:jc w:val="center"/>
        <w:tblLayout w:type="fixed"/>
        <w:tblCellMar>
          <w:top w:w="0" w:type="dxa"/>
          <w:left w:w="108" w:type="dxa"/>
          <w:bottom w:w="0" w:type="dxa"/>
          <w:right w:w="108" w:type="dxa"/>
        </w:tblCellMar>
      </w:tblPr>
      <w:tblGrid>
        <w:gridCol w:w="710"/>
        <w:gridCol w:w="2693"/>
        <w:gridCol w:w="2004"/>
        <w:gridCol w:w="520"/>
        <w:gridCol w:w="1220"/>
        <w:gridCol w:w="700"/>
        <w:gridCol w:w="730"/>
      </w:tblGrid>
      <w:tr w14:paraId="43C0F99C">
        <w:tblPrEx>
          <w:tblCellMar>
            <w:top w:w="0" w:type="dxa"/>
            <w:left w:w="108" w:type="dxa"/>
            <w:bottom w:w="0" w:type="dxa"/>
            <w:right w:w="108" w:type="dxa"/>
          </w:tblCellMar>
        </w:tblPrEx>
        <w:trPr>
          <w:trHeight w:val="428"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59EE57A0">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rPr>
              <w:t>序号</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16E018F6">
            <w:pPr>
              <w:widowControl/>
              <w:jc w:val="center"/>
              <w:rPr>
                <w:rFonts w:hint="eastAsia" w:ascii="宋体" w:hAnsi="宋体" w:cs="宋体"/>
                <w:b/>
                <w:bCs/>
                <w:kern w:val="0"/>
                <w:sz w:val="20"/>
                <w:szCs w:val="20"/>
                <w:highlight w:val="none"/>
              </w:rPr>
            </w:pPr>
            <w:r>
              <w:rPr>
                <w:rFonts w:hint="eastAsia" w:ascii="宋体" w:hAnsi="宋体" w:cs="宋体"/>
                <w:b/>
                <w:bCs/>
                <w:kern w:val="0"/>
                <w:sz w:val="20"/>
                <w:szCs w:val="20"/>
                <w:highlight w:val="none"/>
              </w:rPr>
              <w:t>名称</w:t>
            </w:r>
          </w:p>
        </w:tc>
        <w:tc>
          <w:tcPr>
            <w:tcW w:w="2004" w:type="dxa"/>
            <w:tcBorders>
              <w:top w:val="single" w:color="auto" w:sz="4" w:space="0"/>
              <w:left w:val="nil"/>
              <w:bottom w:val="single" w:color="auto" w:sz="4" w:space="0"/>
              <w:right w:val="single" w:color="auto" w:sz="4" w:space="0"/>
            </w:tcBorders>
            <w:noWrap w:val="0"/>
            <w:vAlign w:val="center"/>
          </w:tcPr>
          <w:p w14:paraId="19E22A22">
            <w:pPr>
              <w:widowControl/>
              <w:jc w:val="center"/>
              <w:rPr>
                <w:rFonts w:hint="default" w:ascii="宋体" w:hAnsi="宋体" w:eastAsia="宋体" w:cs="宋体"/>
                <w:b/>
                <w:bCs/>
                <w:kern w:val="0"/>
                <w:sz w:val="20"/>
                <w:szCs w:val="20"/>
                <w:highlight w:val="none"/>
                <w:lang w:val="en-US" w:eastAsia="zh-CN"/>
              </w:rPr>
            </w:pPr>
            <w:r>
              <w:rPr>
                <w:rFonts w:hint="eastAsia" w:ascii="宋体" w:hAnsi="宋体" w:cs="宋体"/>
                <w:b/>
                <w:bCs/>
                <w:kern w:val="0"/>
                <w:sz w:val="20"/>
                <w:szCs w:val="20"/>
                <w:highlight w:val="none"/>
                <w:lang w:val="en-US" w:eastAsia="zh-CN"/>
              </w:rPr>
              <w:t>具体名称</w:t>
            </w:r>
          </w:p>
        </w:tc>
        <w:tc>
          <w:tcPr>
            <w:tcW w:w="520" w:type="dxa"/>
            <w:tcBorders>
              <w:top w:val="single" w:color="auto" w:sz="4" w:space="0"/>
              <w:left w:val="single" w:color="auto" w:sz="4" w:space="0"/>
              <w:bottom w:val="single" w:color="auto" w:sz="4" w:space="0"/>
              <w:right w:val="single" w:color="auto" w:sz="4" w:space="0"/>
            </w:tcBorders>
            <w:noWrap w:val="0"/>
            <w:vAlign w:val="center"/>
          </w:tcPr>
          <w:p w14:paraId="32174B25">
            <w:pPr>
              <w:widowControl/>
              <w:jc w:val="center"/>
              <w:rPr>
                <w:rFonts w:hint="eastAsia" w:ascii="宋体" w:hAnsi="宋体" w:cs="宋体"/>
                <w:b/>
                <w:bCs/>
                <w:kern w:val="0"/>
                <w:sz w:val="20"/>
                <w:szCs w:val="20"/>
                <w:highlight w:val="none"/>
              </w:rPr>
            </w:pPr>
            <w:r>
              <w:rPr>
                <w:rFonts w:hint="eastAsia" w:ascii="宋体" w:hAnsi="宋体" w:cs="宋体"/>
                <w:b/>
                <w:bCs/>
                <w:kern w:val="0"/>
                <w:sz w:val="20"/>
                <w:szCs w:val="20"/>
                <w:highlight w:val="none"/>
              </w:rPr>
              <w:t>单位</w:t>
            </w:r>
          </w:p>
        </w:tc>
        <w:tc>
          <w:tcPr>
            <w:tcW w:w="1220" w:type="dxa"/>
            <w:tcBorders>
              <w:top w:val="single" w:color="auto" w:sz="4" w:space="0"/>
              <w:left w:val="single" w:color="auto" w:sz="4" w:space="0"/>
              <w:bottom w:val="single" w:color="auto" w:sz="4" w:space="0"/>
              <w:right w:val="single" w:color="auto" w:sz="4" w:space="0"/>
            </w:tcBorders>
            <w:noWrap/>
            <w:vAlign w:val="center"/>
          </w:tcPr>
          <w:p w14:paraId="1D564772">
            <w:pPr>
              <w:widowControl/>
              <w:jc w:val="center"/>
              <w:rPr>
                <w:rFonts w:hint="eastAsia" w:ascii="宋体" w:hAnsi="宋体" w:cs="宋体"/>
                <w:b/>
                <w:bCs/>
                <w:kern w:val="0"/>
                <w:sz w:val="20"/>
                <w:szCs w:val="20"/>
                <w:highlight w:val="none"/>
              </w:rPr>
            </w:pPr>
            <w:r>
              <w:rPr>
                <w:rFonts w:hint="eastAsia" w:ascii="宋体" w:hAnsi="宋体" w:cs="宋体"/>
                <w:b/>
                <w:bCs/>
                <w:kern w:val="0"/>
                <w:sz w:val="20"/>
                <w:szCs w:val="20"/>
                <w:highlight w:val="none"/>
              </w:rPr>
              <w:t>限高单价（</w:t>
            </w:r>
            <w:r>
              <w:rPr>
                <w:rFonts w:hint="eastAsia" w:ascii="宋体" w:hAnsi="宋体" w:cs="宋体"/>
                <w:b/>
                <w:bCs/>
                <w:kern w:val="0"/>
                <w:sz w:val="20"/>
                <w:szCs w:val="20"/>
                <w:highlight w:val="none"/>
                <w:lang w:val="en-US" w:eastAsia="zh-CN"/>
              </w:rPr>
              <w:t>万</w:t>
            </w:r>
            <w:r>
              <w:rPr>
                <w:rFonts w:hint="eastAsia" w:ascii="宋体" w:hAnsi="宋体" w:cs="宋体"/>
                <w:b/>
                <w:bCs/>
                <w:kern w:val="0"/>
                <w:sz w:val="20"/>
                <w:szCs w:val="20"/>
                <w:highlight w:val="none"/>
              </w:rPr>
              <w:t>元）</w:t>
            </w:r>
          </w:p>
        </w:tc>
        <w:tc>
          <w:tcPr>
            <w:tcW w:w="700" w:type="dxa"/>
            <w:tcBorders>
              <w:top w:val="single" w:color="auto" w:sz="4" w:space="0"/>
              <w:left w:val="single" w:color="auto" w:sz="4" w:space="0"/>
              <w:bottom w:val="single" w:color="auto" w:sz="4" w:space="0"/>
              <w:right w:val="single" w:color="auto" w:sz="4" w:space="0"/>
            </w:tcBorders>
            <w:noWrap/>
            <w:vAlign w:val="center"/>
          </w:tcPr>
          <w:p w14:paraId="171A3B80">
            <w:pPr>
              <w:widowControl/>
              <w:jc w:val="center"/>
              <w:rPr>
                <w:rFonts w:hint="eastAsia" w:ascii="宋体" w:hAnsi="宋体" w:cs="宋体"/>
                <w:b/>
                <w:bCs/>
                <w:kern w:val="0"/>
                <w:sz w:val="20"/>
                <w:szCs w:val="20"/>
                <w:highlight w:val="none"/>
              </w:rPr>
            </w:pPr>
            <w:r>
              <w:rPr>
                <w:rFonts w:hint="eastAsia" w:ascii="宋体" w:hAnsi="宋体" w:cs="宋体"/>
                <w:b/>
                <w:bCs/>
                <w:kern w:val="0"/>
                <w:sz w:val="20"/>
                <w:szCs w:val="20"/>
                <w:highlight w:val="none"/>
              </w:rPr>
              <w:t>数量</w:t>
            </w:r>
          </w:p>
        </w:tc>
        <w:tc>
          <w:tcPr>
            <w:tcW w:w="730" w:type="dxa"/>
            <w:tcBorders>
              <w:top w:val="single" w:color="auto" w:sz="4" w:space="0"/>
              <w:left w:val="single" w:color="auto" w:sz="4" w:space="0"/>
              <w:bottom w:val="single" w:color="auto" w:sz="4" w:space="0"/>
              <w:right w:val="single" w:color="auto" w:sz="4" w:space="0"/>
            </w:tcBorders>
            <w:noWrap w:val="0"/>
            <w:vAlign w:val="top"/>
          </w:tcPr>
          <w:p w14:paraId="4B82C8FC">
            <w:pPr>
              <w:jc w:val="center"/>
              <w:rPr>
                <w:rFonts w:hint="eastAsia" w:ascii="宋体" w:hAnsi="宋体" w:cs="宋体"/>
                <w:b/>
                <w:bCs/>
                <w:kern w:val="0"/>
                <w:sz w:val="20"/>
                <w:szCs w:val="20"/>
                <w:highlight w:val="none"/>
              </w:rPr>
            </w:pPr>
            <w:r>
              <w:rPr>
                <w:rFonts w:hint="eastAsia" w:ascii="宋体" w:hAnsi="宋体" w:cs="宋体"/>
                <w:b/>
                <w:bCs/>
                <w:kern w:val="0"/>
                <w:sz w:val="20"/>
                <w:szCs w:val="20"/>
                <w:highlight w:val="none"/>
              </w:rPr>
              <w:t>其他</w:t>
            </w:r>
          </w:p>
        </w:tc>
      </w:tr>
      <w:tr w14:paraId="531C5717">
        <w:tblPrEx>
          <w:tblCellMar>
            <w:top w:w="0" w:type="dxa"/>
            <w:left w:w="108" w:type="dxa"/>
            <w:bottom w:w="0" w:type="dxa"/>
            <w:right w:w="108" w:type="dxa"/>
          </w:tblCellMar>
        </w:tblPrEx>
        <w:trPr>
          <w:trHeight w:val="428"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14B13E82">
            <w:pPr>
              <w:widowControl/>
              <w:jc w:val="center"/>
              <w:rPr>
                <w:rFonts w:hint="eastAsia" w:ascii="宋体" w:hAnsi="宋体" w:eastAsia="宋体" w:cs="宋体"/>
                <w:b/>
                <w:bCs/>
                <w:color w:val="auto"/>
                <w:kern w:val="0"/>
                <w:sz w:val="20"/>
                <w:szCs w:val="20"/>
                <w:highlight w:val="none"/>
                <w:lang w:val="en-US" w:eastAsia="zh-CN"/>
              </w:rPr>
            </w:pPr>
            <w:r>
              <w:rPr>
                <w:rFonts w:hint="eastAsia" w:ascii="宋体" w:hAnsi="宋体" w:cs="宋体"/>
                <w:b/>
                <w:bCs/>
                <w:color w:val="auto"/>
                <w:kern w:val="0"/>
                <w:sz w:val="20"/>
                <w:szCs w:val="20"/>
                <w:highlight w:val="none"/>
                <w:lang w:val="en-US" w:eastAsia="zh-CN"/>
              </w:rPr>
              <w:t>1</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02FB2F06">
            <w:pPr>
              <w:keepNext w:val="0"/>
              <w:keepLines w:val="0"/>
              <w:widowControl/>
              <w:suppressLineNumbers w:val="0"/>
              <w:jc w:val="center"/>
              <w:textAlignment w:val="center"/>
              <w:rPr>
                <w:rFonts w:hint="eastAsia" w:ascii="宋体" w:hAnsi="宋体" w:eastAsia="宋体" w:cs="宋体"/>
                <w:b/>
                <w:bCs/>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锁骨的几何模型</w:t>
            </w:r>
          </w:p>
        </w:tc>
        <w:tc>
          <w:tcPr>
            <w:tcW w:w="2004" w:type="dxa"/>
            <w:tcBorders>
              <w:top w:val="single" w:color="auto" w:sz="4" w:space="0"/>
              <w:left w:val="nil"/>
              <w:bottom w:val="single" w:color="auto" w:sz="4" w:space="0"/>
              <w:right w:val="single" w:color="auto" w:sz="4" w:space="0"/>
            </w:tcBorders>
            <w:noWrap w:val="0"/>
            <w:vAlign w:val="center"/>
          </w:tcPr>
          <w:p w14:paraId="1D5FD613">
            <w:pPr>
              <w:keepNext w:val="0"/>
              <w:keepLines w:val="0"/>
              <w:widowControl/>
              <w:suppressLineNumbers w:val="0"/>
              <w:jc w:val="center"/>
              <w:textAlignment w:val="center"/>
              <w:rPr>
                <w:rFonts w:hint="eastAsia" w:ascii="宋体" w:hAnsi="宋体" w:eastAsia="宋体" w:cs="宋体"/>
                <w:b/>
                <w:bCs/>
                <w:kern w:val="0"/>
                <w:sz w:val="20"/>
                <w:szCs w:val="20"/>
                <w:highlight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4290" cy="75565"/>
                  <wp:effectExtent l="0" t="0" r="0" b="0"/>
                  <wp:wrapNone/>
                  <wp:docPr id="8" name="图片_2"/>
                  <wp:cNvGraphicFramePr/>
                  <a:graphic xmlns:a="http://schemas.openxmlformats.org/drawingml/2006/main">
                    <a:graphicData uri="http://schemas.openxmlformats.org/drawingml/2006/picture">
                      <pic:pic xmlns:pic="http://schemas.openxmlformats.org/drawingml/2006/picture">
                        <pic:nvPicPr>
                          <pic:cNvPr id="8" name="图片_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4290" cy="73025"/>
                  <wp:effectExtent l="0" t="0" r="0" b="0"/>
                  <wp:wrapNone/>
                  <wp:docPr id="9" name="图片_2_SpCnt_1"/>
                  <wp:cNvGraphicFramePr/>
                  <a:graphic xmlns:a="http://schemas.openxmlformats.org/drawingml/2006/main">
                    <a:graphicData uri="http://schemas.openxmlformats.org/drawingml/2006/picture">
                      <pic:pic xmlns:pic="http://schemas.openxmlformats.org/drawingml/2006/picture">
                        <pic:nvPicPr>
                          <pic:cNvPr id="9" name="图片_2_SpCnt_1"/>
                          <pic:cNvPicPr/>
                        </pic:nvPicPr>
                        <pic:blipFill>
                          <a:blip r:embed="rId4"/>
                          <a:stretch>
                            <a:fillRect/>
                          </a:stretch>
                        </pic:blipFill>
                        <pic:spPr>
                          <a:xfrm>
                            <a:off x="0" y="0"/>
                            <a:ext cx="34290" cy="7302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34290" cy="74295"/>
                  <wp:effectExtent l="0" t="0" r="0" b="0"/>
                  <wp:wrapNone/>
                  <wp:docPr id="4" name="图片_2_SpCnt_2"/>
                  <wp:cNvGraphicFramePr/>
                  <a:graphic xmlns:a="http://schemas.openxmlformats.org/drawingml/2006/main">
                    <a:graphicData uri="http://schemas.openxmlformats.org/drawingml/2006/picture">
                      <pic:pic xmlns:pic="http://schemas.openxmlformats.org/drawingml/2006/picture">
                        <pic:nvPicPr>
                          <pic:cNvPr id="4" name="图片_2_SpCnt_2"/>
                          <pic:cNvPicPr/>
                        </pic:nvPicPr>
                        <pic:blipFill>
                          <a:blip r:embed="rId4"/>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15875</wp:posOffset>
                  </wp:positionH>
                  <wp:positionV relativeFrom="paragraph">
                    <wp:posOffset>0</wp:posOffset>
                  </wp:positionV>
                  <wp:extent cx="31115" cy="75565"/>
                  <wp:effectExtent l="0" t="0" r="0" b="0"/>
                  <wp:wrapNone/>
                  <wp:docPr id="5" name="图片_2_SpCnt_3"/>
                  <wp:cNvGraphicFramePr/>
                  <a:graphic xmlns:a="http://schemas.openxmlformats.org/drawingml/2006/main">
                    <a:graphicData uri="http://schemas.openxmlformats.org/drawingml/2006/picture">
                      <pic:pic xmlns:pic="http://schemas.openxmlformats.org/drawingml/2006/picture">
                        <pic:nvPicPr>
                          <pic:cNvPr id="5" name="图片_2_SpCnt_3"/>
                          <pic:cNvPicPr/>
                        </pic:nvPicPr>
                        <pic:blipFill>
                          <a:blip r:embed="rId4"/>
                          <a:stretch>
                            <a:fillRect/>
                          </a:stretch>
                        </pic:blipFill>
                        <pic:spPr>
                          <a:xfrm>
                            <a:off x="0" y="0"/>
                            <a:ext cx="31115" cy="755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27940</wp:posOffset>
                  </wp:positionH>
                  <wp:positionV relativeFrom="paragraph">
                    <wp:posOffset>0</wp:posOffset>
                  </wp:positionV>
                  <wp:extent cx="34290" cy="75565"/>
                  <wp:effectExtent l="0" t="0" r="0" b="0"/>
                  <wp:wrapNone/>
                  <wp:docPr id="6" name="图片_2_SpCnt_4"/>
                  <wp:cNvGraphicFramePr/>
                  <a:graphic xmlns:a="http://schemas.openxmlformats.org/drawingml/2006/main">
                    <a:graphicData uri="http://schemas.openxmlformats.org/drawingml/2006/picture">
                      <pic:pic xmlns:pic="http://schemas.openxmlformats.org/drawingml/2006/picture">
                        <pic:nvPicPr>
                          <pic:cNvPr id="6" name="图片_2_SpCnt_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55880</wp:posOffset>
                  </wp:positionH>
                  <wp:positionV relativeFrom="paragraph">
                    <wp:posOffset>0</wp:posOffset>
                  </wp:positionV>
                  <wp:extent cx="34290" cy="75565"/>
                  <wp:effectExtent l="0" t="0" r="0" b="0"/>
                  <wp:wrapNone/>
                  <wp:docPr id="7" name="图片_2_SpCnt_5"/>
                  <wp:cNvGraphicFramePr/>
                  <a:graphic xmlns:a="http://schemas.openxmlformats.org/drawingml/2006/main">
                    <a:graphicData uri="http://schemas.openxmlformats.org/drawingml/2006/picture">
                      <pic:pic xmlns:pic="http://schemas.openxmlformats.org/drawingml/2006/picture">
                        <pic:nvPicPr>
                          <pic:cNvPr id="7" name="图片_2_SpCnt_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lang w:val="en-US" w:eastAsia="zh-CN" w:bidi="ar"/>
              </w:rPr>
              <w:t>3D打印模型及附属结构</w:t>
            </w:r>
          </w:p>
        </w:tc>
        <w:tc>
          <w:tcPr>
            <w:tcW w:w="520" w:type="dxa"/>
            <w:tcBorders>
              <w:top w:val="single" w:color="auto" w:sz="4" w:space="0"/>
              <w:left w:val="single" w:color="auto" w:sz="4" w:space="0"/>
              <w:bottom w:val="single" w:color="auto" w:sz="4" w:space="0"/>
              <w:right w:val="single" w:color="auto" w:sz="4" w:space="0"/>
            </w:tcBorders>
            <w:noWrap w:val="0"/>
            <w:vAlign w:val="center"/>
          </w:tcPr>
          <w:p w14:paraId="3A70585C">
            <w:pPr>
              <w:keepNext w:val="0"/>
              <w:keepLines w:val="0"/>
              <w:widowControl/>
              <w:suppressLineNumbers w:val="0"/>
              <w:jc w:val="center"/>
              <w:textAlignment w:val="center"/>
              <w:rPr>
                <w:rFonts w:hint="eastAsia" w:ascii="宋体" w:hAnsi="宋体" w:eastAsia="宋体" w:cs="宋体"/>
                <w:b/>
                <w:bCs/>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220" w:type="dxa"/>
            <w:tcBorders>
              <w:top w:val="single" w:color="auto" w:sz="4" w:space="0"/>
              <w:left w:val="single" w:color="auto" w:sz="4" w:space="0"/>
              <w:bottom w:val="single" w:color="auto" w:sz="4" w:space="0"/>
              <w:right w:val="single" w:color="auto" w:sz="4" w:space="0"/>
            </w:tcBorders>
            <w:noWrap/>
            <w:vAlign w:val="center"/>
          </w:tcPr>
          <w:p w14:paraId="2F6760E4">
            <w:pPr>
              <w:keepNext w:val="0"/>
              <w:keepLines w:val="0"/>
              <w:widowControl/>
              <w:suppressLineNumbers w:val="0"/>
              <w:jc w:val="center"/>
              <w:textAlignment w:val="center"/>
              <w:rPr>
                <w:rFonts w:hint="default" w:ascii="宋体" w:hAnsi="宋体" w:eastAsia="宋体" w:cs="宋体"/>
                <w:b/>
                <w:bCs/>
                <w:kern w:val="0"/>
                <w:sz w:val="20"/>
                <w:szCs w:val="20"/>
                <w:highlight w:val="none"/>
                <w:lang w:val="en-US"/>
              </w:rPr>
            </w:pPr>
            <w:r>
              <w:rPr>
                <w:rFonts w:hint="eastAsia" w:ascii="宋体" w:hAnsi="宋体" w:eastAsia="宋体" w:cs="宋体"/>
                <w:i w:val="0"/>
                <w:iCs w:val="0"/>
                <w:color w:val="000000"/>
                <w:kern w:val="0"/>
                <w:sz w:val="20"/>
                <w:szCs w:val="20"/>
                <w:highlight w:val="none"/>
                <w:u w:val="none"/>
                <w:lang w:val="en-US" w:eastAsia="zh-CN" w:bidi="ar"/>
              </w:rPr>
              <w:t>0.1</w:t>
            </w:r>
          </w:p>
        </w:tc>
        <w:tc>
          <w:tcPr>
            <w:tcW w:w="700" w:type="dxa"/>
            <w:tcBorders>
              <w:top w:val="single" w:color="auto" w:sz="4" w:space="0"/>
              <w:left w:val="single" w:color="auto" w:sz="4" w:space="0"/>
              <w:bottom w:val="single" w:color="auto" w:sz="4" w:space="0"/>
              <w:right w:val="single" w:color="auto" w:sz="4" w:space="0"/>
            </w:tcBorders>
            <w:noWrap/>
            <w:vAlign w:val="center"/>
          </w:tcPr>
          <w:p w14:paraId="73681836">
            <w:pPr>
              <w:keepNext w:val="0"/>
              <w:keepLines w:val="0"/>
              <w:widowControl/>
              <w:suppressLineNumbers w:val="0"/>
              <w:jc w:val="center"/>
              <w:textAlignment w:val="center"/>
              <w:rPr>
                <w:rFonts w:hint="default" w:ascii="宋体" w:hAnsi="宋体" w:eastAsia="宋体" w:cs="宋体"/>
                <w:b/>
                <w:bCs/>
                <w:kern w:val="0"/>
                <w:sz w:val="20"/>
                <w:szCs w:val="20"/>
                <w:highlight w:val="none"/>
                <w:lang w:val="en-US"/>
              </w:rPr>
            </w:pPr>
            <w:r>
              <w:rPr>
                <w:rFonts w:hint="eastAsia" w:ascii="宋体" w:hAnsi="宋体" w:eastAsia="宋体" w:cs="宋体"/>
                <w:i w:val="0"/>
                <w:iCs w:val="0"/>
                <w:color w:val="000000"/>
                <w:kern w:val="0"/>
                <w:sz w:val="20"/>
                <w:szCs w:val="20"/>
                <w:highlight w:val="none"/>
                <w:u w:val="none"/>
                <w:lang w:val="en-US" w:eastAsia="zh-CN" w:bidi="ar"/>
              </w:rPr>
              <w:t>20</w:t>
            </w:r>
          </w:p>
        </w:tc>
        <w:tc>
          <w:tcPr>
            <w:tcW w:w="730" w:type="dxa"/>
            <w:tcBorders>
              <w:top w:val="single" w:color="auto" w:sz="4" w:space="0"/>
              <w:left w:val="single" w:color="auto" w:sz="4" w:space="0"/>
              <w:bottom w:val="single" w:color="auto" w:sz="4" w:space="0"/>
              <w:right w:val="single" w:color="auto" w:sz="4" w:space="0"/>
            </w:tcBorders>
            <w:noWrap w:val="0"/>
            <w:vAlign w:val="top"/>
          </w:tcPr>
          <w:p w14:paraId="4C9D855F">
            <w:pPr>
              <w:jc w:val="center"/>
              <w:rPr>
                <w:rFonts w:hint="eastAsia" w:ascii="宋体" w:hAnsi="宋体" w:cs="宋体"/>
                <w:b/>
                <w:bCs/>
                <w:kern w:val="0"/>
                <w:sz w:val="20"/>
                <w:szCs w:val="20"/>
                <w:highlight w:val="none"/>
              </w:rPr>
            </w:pPr>
          </w:p>
        </w:tc>
      </w:tr>
      <w:tr w14:paraId="1AB6FD19">
        <w:tblPrEx>
          <w:tblCellMar>
            <w:top w:w="0" w:type="dxa"/>
            <w:left w:w="108" w:type="dxa"/>
            <w:bottom w:w="0" w:type="dxa"/>
            <w:right w:w="108" w:type="dxa"/>
          </w:tblCellMar>
        </w:tblPrEx>
        <w:trPr>
          <w:trHeight w:val="428"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7273687A">
            <w:pPr>
              <w:widowControl/>
              <w:jc w:val="center"/>
              <w:rPr>
                <w:rFonts w:hint="eastAsia" w:ascii="宋体" w:hAnsi="宋体" w:eastAsia="宋体" w:cs="宋体"/>
                <w:b/>
                <w:bCs/>
                <w:color w:val="auto"/>
                <w:kern w:val="0"/>
                <w:sz w:val="20"/>
                <w:szCs w:val="20"/>
                <w:highlight w:val="none"/>
                <w:lang w:val="en-US" w:eastAsia="zh-CN"/>
              </w:rPr>
            </w:pPr>
            <w:r>
              <w:rPr>
                <w:rFonts w:hint="eastAsia" w:ascii="宋体" w:hAnsi="宋体" w:cs="宋体"/>
                <w:b/>
                <w:bCs/>
                <w:color w:val="auto"/>
                <w:kern w:val="0"/>
                <w:sz w:val="20"/>
                <w:szCs w:val="20"/>
                <w:highlight w:val="none"/>
                <w:lang w:val="en-US" w:eastAsia="zh-CN"/>
              </w:rPr>
              <w:t>2</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0AF6AF48">
            <w:pPr>
              <w:keepNext w:val="0"/>
              <w:keepLines w:val="0"/>
              <w:widowControl/>
              <w:suppressLineNumbers w:val="0"/>
              <w:jc w:val="center"/>
              <w:textAlignment w:val="center"/>
              <w:rPr>
                <w:rFonts w:hint="eastAsia" w:ascii="宋体" w:hAnsi="宋体" w:eastAsia="宋体" w:cs="宋体"/>
                <w:b/>
                <w:bCs/>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锁骨骨折几何模型</w:t>
            </w:r>
          </w:p>
        </w:tc>
        <w:tc>
          <w:tcPr>
            <w:tcW w:w="2004" w:type="dxa"/>
            <w:tcBorders>
              <w:top w:val="single" w:color="auto" w:sz="4" w:space="0"/>
              <w:left w:val="nil"/>
              <w:bottom w:val="single" w:color="auto" w:sz="4" w:space="0"/>
              <w:right w:val="single" w:color="auto" w:sz="4" w:space="0"/>
            </w:tcBorders>
            <w:noWrap w:val="0"/>
            <w:vAlign w:val="center"/>
          </w:tcPr>
          <w:p w14:paraId="4B27A6CB">
            <w:pPr>
              <w:keepNext w:val="0"/>
              <w:keepLines w:val="0"/>
              <w:widowControl/>
              <w:suppressLineNumbers w:val="0"/>
              <w:jc w:val="center"/>
              <w:textAlignment w:val="center"/>
              <w:rPr>
                <w:rFonts w:hint="eastAsia" w:ascii="宋体" w:hAnsi="宋体" w:eastAsia="宋体" w:cs="宋体"/>
                <w:b/>
                <w:bCs/>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制造不同骨折模型</w:t>
            </w:r>
          </w:p>
        </w:tc>
        <w:tc>
          <w:tcPr>
            <w:tcW w:w="520" w:type="dxa"/>
            <w:tcBorders>
              <w:top w:val="single" w:color="auto" w:sz="4" w:space="0"/>
              <w:left w:val="single" w:color="auto" w:sz="4" w:space="0"/>
              <w:bottom w:val="single" w:color="auto" w:sz="4" w:space="0"/>
              <w:right w:val="single" w:color="auto" w:sz="4" w:space="0"/>
            </w:tcBorders>
            <w:noWrap w:val="0"/>
            <w:vAlign w:val="center"/>
          </w:tcPr>
          <w:p w14:paraId="1B1D2157">
            <w:pPr>
              <w:keepNext w:val="0"/>
              <w:keepLines w:val="0"/>
              <w:widowControl/>
              <w:suppressLineNumbers w:val="0"/>
              <w:jc w:val="center"/>
              <w:textAlignment w:val="center"/>
              <w:rPr>
                <w:rFonts w:hint="eastAsia" w:ascii="宋体" w:hAnsi="宋体" w:eastAsia="宋体" w:cs="宋体"/>
                <w:b/>
                <w:bCs/>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220" w:type="dxa"/>
            <w:tcBorders>
              <w:top w:val="single" w:color="auto" w:sz="4" w:space="0"/>
              <w:left w:val="single" w:color="auto" w:sz="4" w:space="0"/>
              <w:bottom w:val="single" w:color="auto" w:sz="4" w:space="0"/>
              <w:right w:val="single" w:color="auto" w:sz="4" w:space="0"/>
            </w:tcBorders>
            <w:noWrap/>
            <w:vAlign w:val="center"/>
          </w:tcPr>
          <w:p w14:paraId="5B028BDC">
            <w:pPr>
              <w:keepNext w:val="0"/>
              <w:keepLines w:val="0"/>
              <w:widowControl/>
              <w:suppressLineNumbers w:val="0"/>
              <w:jc w:val="center"/>
              <w:textAlignment w:val="center"/>
              <w:rPr>
                <w:rFonts w:hint="default" w:ascii="宋体" w:hAnsi="宋体" w:eastAsia="宋体" w:cs="宋体"/>
                <w:b/>
                <w:bCs/>
                <w:kern w:val="0"/>
                <w:sz w:val="20"/>
                <w:szCs w:val="20"/>
                <w:highlight w:val="none"/>
                <w:lang w:val="en-US"/>
              </w:rPr>
            </w:pPr>
            <w:r>
              <w:rPr>
                <w:rFonts w:hint="eastAsia" w:ascii="宋体" w:hAnsi="宋体" w:eastAsia="宋体" w:cs="宋体"/>
                <w:i w:val="0"/>
                <w:iCs w:val="0"/>
                <w:color w:val="000000"/>
                <w:kern w:val="0"/>
                <w:sz w:val="20"/>
                <w:szCs w:val="20"/>
                <w:highlight w:val="none"/>
                <w:u w:val="none"/>
                <w:lang w:val="en-US" w:eastAsia="zh-CN" w:bidi="ar"/>
              </w:rPr>
              <w:t>0.01</w:t>
            </w:r>
          </w:p>
        </w:tc>
        <w:tc>
          <w:tcPr>
            <w:tcW w:w="700" w:type="dxa"/>
            <w:tcBorders>
              <w:top w:val="single" w:color="auto" w:sz="4" w:space="0"/>
              <w:left w:val="single" w:color="auto" w:sz="4" w:space="0"/>
              <w:bottom w:val="single" w:color="auto" w:sz="4" w:space="0"/>
              <w:right w:val="single" w:color="auto" w:sz="4" w:space="0"/>
            </w:tcBorders>
            <w:noWrap/>
            <w:vAlign w:val="center"/>
          </w:tcPr>
          <w:p w14:paraId="666CEB9B">
            <w:pPr>
              <w:keepNext w:val="0"/>
              <w:keepLines w:val="0"/>
              <w:widowControl/>
              <w:suppressLineNumbers w:val="0"/>
              <w:jc w:val="center"/>
              <w:textAlignment w:val="center"/>
              <w:rPr>
                <w:rFonts w:hint="default" w:ascii="宋体" w:hAnsi="宋体" w:eastAsia="宋体" w:cs="宋体"/>
                <w:b/>
                <w:bCs/>
                <w:kern w:val="0"/>
                <w:sz w:val="20"/>
                <w:szCs w:val="20"/>
                <w:highlight w:val="none"/>
                <w:lang w:val="en-US"/>
              </w:rPr>
            </w:pPr>
            <w:r>
              <w:rPr>
                <w:rFonts w:hint="eastAsia" w:ascii="宋体" w:hAnsi="宋体" w:eastAsia="宋体" w:cs="宋体"/>
                <w:i w:val="0"/>
                <w:iCs w:val="0"/>
                <w:color w:val="000000"/>
                <w:kern w:val="0"/>
                <w:sz w:val="20"/>
                <w:szCs w:val="20"/>
                <w:highlight w:val="none"/>
                <w:u w:val="none"/>
                <w:lang w:val="en-US" w:eastAsia="zh-CN" w:bidi="ar"/>
              </w:rPr>
              <w:t>20</w:t>
            </w:r>
          </w:p>
        </w:tc>
        <w:tc>
          <w:tcPr>
            <w:tcW w:w="730" w:type="dxa"/>
            <w:tcBorders>
              <w:top w:val="single" w:color="auto" w:sz="4" w:space="0"/>
              <w:left w:val="single" w:color="auto" w:sz="4" w:space="0"/>
              <w:bottom w:val="single" w:color="auto" w:sz="4" w:space="0"/>
              <w:right w:val="single" w:color="auto" w:sz="4" w:space="0"/>
            </w:tcBorders>
            <w:noWrap w:val="0"/>
            <w:vAlign w:val="top"/>
          </w:tcPr>
          <w:p w14:paraId="6471362E">
            <w:pPr>
              <w:jc w:val="center"/>
              <w:rPr>
                <w:rFonts w:hint="eastAsia" w:ascii="宋体" w:hAnsi="宋体" w:cs="宋体"/>
                <w:b/>
                <w:bCs/>
                <w:kern w:val="0"/>
                <w:sz w:val="20"/>
                <w:szCs w:val="20"/>
                <w:highlight w:val="none"/>
              </w:rPr>
            </w:pPr>
          </w:p>
        </w:tc>
      </w:tr>
      <w:tr w14:paraId="32A1DC27">
        <w:tblPrEx>
          <w:tblCellMar>
            <w:top w:w="0" w:type="dxa"/>
            <w:left w:w="108" w:type="dxa"/>
            <w:bottom w:w="0" w:type="dxa"/>
            <w:right w:w="108" w:type="dxa"/>
          </w:tblCellMar>
        </w:tblPrEx>
        <w:trPr>
          <w:trHeight w:val="428"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3A43C580">
            <w:pPr>
              <w:widowControl/>
              <w:jc w:val="center"/>
              <w:rPr>
                <w:rFonts w:hint="eastAsia" w:ascii="宋体" w:hAnsi="宋体" w:eastAsia="宋体" w:cs="宋体"/>
                <w:b/>
                <w:bCs/>
                <w:color w:val="auto"/>
                <w:kern w:val="0"/>
                <w:sz w:val="20"/>
                <w:szCs w:val="20"/>
                <w:highlight w:val="none"/>
                <w:lang w:val="en-US" w:eastAsia="zh-CN"/>
              </w:rPr>
            </w:pPr>
            <w:r>
              <w:rPr>
                <w:rFonts w:hint="eastAsia" w:ascii="宋体" w:hAnsi="宋体" w:cs="宋体"/>
                <w:b/>
                <w:bCs/>
                <w:color w:val="auto"/>
                <w:kern w:val="0"/>
                <w:sz w:val="20"/>
                <w:szCs w:val="20"/>
                <w:highlight w:val="none"/>
                <w:lang w:val="en-US" w:eastAsia="zh-CN"/>
              </w:rPr>
              <w:t>3</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5542ECFB">
            <w:pPr>
              <w:keepNext w:val="0"/>
              <w:keepLines w:val="0"/>
              <w:widowControl/>
              <w:suppressLineNumbers w:val="0"/>
              <w:jc w:val="center"/>
              <w:textAlignment w:val="center"/>
              <w:rPr>
                <w:rFonts w:hint="eastAsia" w:ascii="宋体" w:hAnsi="宋体" w:eastAsia="宋体" w:cs="宋体"/>
                <w:b/>
                <w:bCs/>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金针复位技术治疗刚弹耦合测试（扭转和压力负载）</w:t>
            </w:r>
          </w:p>
        </w:tc>
        <w:tc>
          <w:tcPr>
            <w:tcW w:w="2004" w:type="dxa"/>
            <w:tcBorders>
              <w:top w:val="single" w:color="auto" w:sz="4" w:space="0"/>
              <w:left w:val="nil"/>
              <w:bottom w:val="single" w:color="auto" w:sz="4" w:space="0"/>
              <w:right w:val="single" w:color="auto" w:sz="4" w:space="0"/>
            </w:tcBorders>
            <w:noWrap w:val="0"/>
            <w:vAlign w:val="center"/>
          </w:tcPr>
          <w:p w14:paraId="03AFC31B">
            <w:pPr>
              <w:keepNext w:val="0"/>
              <w:keepLines w:val="0"/>
              <w:widowControl/>
              <w:suppressLineNumbers w:val="0"/>
              <w:jc w:val="center"/>
              <w:textAlignment w:val="center"/>
              <w:rPr>
                <w:rFonts w:hint="eastAsia" w:ascii="宋体" w:hAnsi="宋体" w:eastAsia="宋体" w:cs="宋体"/>
                <w:b/>
                <w:bCs/>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克氏针、应变片、压力感测片、内固定取出器械包，点式复位钳，折弯器、多功能钢丝剪、需要建立夹具和使用应变仪、压力感测仪器等</w:t>
            </w:r>
          </w:p>
        </w:tc>
        <w:tc>
          <w:tcPr>
            <w:tcW w:w="520" w:type="dxa"/>
            <w:tcBorders>
              <w:top w:val="single" w:color="auto" w:sz="4" w:space="0"/>
              <w:left w:val="single" w:color="auto" w:sz="4" w:space="0"/>
              <w:bottom w:val="single" w:color="auto" w:sz="4" w:space="0"/>
              <w:right w:val="single" w:color="auto" w:sz="4" w:space="0"/>
            </w:tcBorders>
            <w:noWrap w:val="0"/>
            <w:vAlign w:val="center"/>
          </w:tcPr>
          <w:p w14:paraId="091640D0">
            <w:pPr>
              <w:keepNext w:val="0"/>
              <w:keepLines w:val="0"/>
              <w:widowControl/>
              <w:suppressLineNumbers w:val="0"/>
              <w:jc w:val="center"/>
              <w:textAlignment w:val="center"/>
              <w:rPr>
                <w:rFonts w:hint="eastAsia" w:ascii="宋体" w:hAnsi="宋体" w:eastAsia="宋体" w:cs="宋体"/>
                <w:b/>
                <w:bCs/>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220" w:type="dxa"/>
            <w:tcBorders>
              <w:top w:val="single" w:color="auto" w:sz="4" w:space="0"/>
              <w:left w:val="single" w:color="auto" w:sz="4" w:space="0"/>
              <w:bottom w:val="single" w:color="auto" w:sz="4" w:space="0"/>
              <w:right w:val="single" w:color="auto" w:sz="4" w:space="0"/>
            </w:tcBorders>
            <w:noWrap/>
            <w:vAlign w:val="center"/>
          </w:tcPr>
          <w:p w14:paraId="1DEF98A2">
            <w:pPr>
              <w:keepNext w:val="0"/>
              <w:keepLines w:val="0"/>
              <w:widowControl/>
              <w:suppressLineNumbers w:val="0"/>
              <w:jc w:val="center"/>
              <w:textAlignment w:val="center"/>
              <w:rPr>
                <w:rFonts w:hint="eastAsia" w:ascii="宋体" w:hAnsi="宋体" w:eastAsia="宋体" w:cs="宋体"/>
                <w:b/>
                <w:bCs/>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0.2</w:t>
            </w:r>
          </w:p>
        </w:tc>
        <w:tc>
          <w:tcPr>
            <w:tcW w:w="700" w:type="dxa"/>
            <w:tcBorders>
              <w:top w:val="single" w:color="auto" w:sz="4" w:space="0"/>
              <w:left w:val="single" w:color="auto" w:sz="4" w:space="0"/>
              <w:bottom w:val="single" w:color="auto" w:sz="4" w:space="0"/>
              <w:right w:val="single" w:color="auto" w:sz="4" w:space="0"/>
            </w:tcBorders>
            <w:noWrap/>
            <w:vAlign w:val="center"/>
          </w:tcPr>
          <w:p w14:paraId="311F70D8">
            <w:pPr>
              <w:keepNext w:val="0"/>
              <w:keepLines w:val="0"/>
              <w:widowControl/>
              <w:suppressLineNumbers w:val="0"/>
              <w:jc w:val="center"/>
              <w:textAlignment w:val="center"/>
              <w:rPr>
                <w:rFonts w:hint="default" w:ascii="宋体" w:hAnsi="宋体" w:eastAsia="宋体" w:cs="宋体"/>
                <w:b/>
                <w:bCs/>
                <w:kern w:val="0"/>
                <w:sz w:val="20"/>
                <w:szCs w:val="20"/>
                <w:highlight w:val="none"/>
                <w:lang w:val="en-US"/>
              </w:rPr>
            </w:pPr>
            <w:r>
              <w:rPr>
                <w:rFonts w:hint="eastAsia" w:ascii="宋体" w:hAnsi="宋体" w:eastAsia="宋体" w:cs="宋体"/>
                <w:i w:val="0"/>
                <w:iCs w:val="0"/>
                <w:color w:val="000000"/>
                <w:kern w:val="0"/>
                <w:sz w:val="20"/>
                <w:szCs w:val="20"/>
                <w:highlight w:val="none"/>
                <w:u w:val="none"/>
                <w:lang w:val="en-US" w:eastAsia="zh-CN" w:bidi="ar"/>
              </w:rPr>
              <w:t>14</w:t>
            </w:r>
          </w:p>
        </w:tc>
        <w:tc>
          <w:tcPr>
            <w:tcW w:w="730" w:type="dxa"/>
            <w:tcBorders>
              <w:top w:val="single" w:color="auto" w:sz="4" w:space="0"/>
              <w:left w:val="single" w:color="auto" w:sz="4" w:space="0"/>
              <w:bottom w:val="single" w:color="auto" w:sz="4" w:space="0"/>
              <w:right w:val="single" w:color="auto" w:sz="4" w:space="0"/>
            </w:tcBorders>
            <w:noWrap w:val="0"/>
            <w:vAlign w:val="top"/>
          </w:tcPr>
          <w:p w14:paraId="5CAEF391">
            <w:pPr>
              <w:jc w:val="center"/>
              <w:rPr>
                <w:rFonts w:hint="eastAsia" w:ascii="宋体" w:hAnsi="宋体" w:cs="宋体"/>
                <w:b/>
                <w:bCs/>
                <w:kern w:val="0"/>
                <w:sz w:val="20"/>
                <w:szCs w:val="20"/>
                <w:highlight w:val="none"/>
              </w:rPr>
            </w:pPr>
          </w:p>
        </w:tc>
      </w:tr>
      <w:tr w14:paraId="4862CE90">
        <w:tblPrEx>
          <w:tblCellMar>
            <w:top w:w="0" w:type="dxa"/>
            <w:left w:w="108" w:type="dxa"/>
            <w:bottom w:w="0" w:type="dxa"/>
            <w:right w:w="108" w:type="dxa"/>
          </w:tblCellMar>
        </w:tblPrEx>
        <w:trPr>
          <w:trHeight w:val="428"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1B3E7AA8">
            <w:pPr>
              <w:widowControl/>
              <w:jc w:val="center"/>
              <w:rPr>
                <w:rFonts w:hint="eastAsia" w:ascii="宋体" w:hAnsi="宋体" w:eastAsia="宋体" w:cs="宋体"/>
                <w:b/>
                <w:bCs/>
                <w:color w:val="auto"/>
                <w:kern w:val="0"/>
                <w:sz w:val="20"/>
                <w:szCs w:val="20"/>
                <w:highlight w:val="none"/>
                <w:lang w:val="en-US" w:eastAsia="zh-CN"/>
              </w:rPr>
            </w:pPr>
            <w:r>
              <w:rPr>
                <w:rFonts w:hint="eastAsia" w:ascii="宋体" w:hAnsi="宋体" w:cs="宋体"/>
                <w:b/>
                <w:bCs/>
                <w:color w:val="auto"/>
                <w:kern w:val="0"/>
                <w:sz w:val="20"/>
                <w:szCs w:val="20"/>
                <w:highlight w:val="none"/>
                <w:lang w:val="en-US" w:eastAsia="zh-CN"/>
              </w:rPr>
              <w:t>4</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057EA899">
            <w:pPr>
              <w:keepNext w:val="0"/>
              <w:keepLines w:val="0"/>
              <w:widowControl/>
              <w:suppressLineNumbers w:val="0"/>
              <w:jc w:val="center"/>
              <w:textAlignment w:val="center"/>
              <w:rPr>
                <w:rFonts w:hint="eastAsia" w:ascii="宋体" w:hAnsi="宋体" w:eastAsia="宋体" w:cs="宋体"/>
                <w:b/>
                <w:bCs/>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钢板内固定手术对比</w:t>
            </w:r>
          </w:p>
        </w:tc>
        <w:tc>
          <w:tcPr>
            <w:tcW w:w="2004" w:type="dxa"/>
            <w:tcBorders>
              <w:top w:val="single" w:color="auto" w:sz="4" w:space="0"/>
              <w:left w:val="nil"/>
              <w:bottom w:val="single" w:color="auto" w:sz="4" w:space="0"/>
              <w:right w:val="single" w:color="auto" w:sz="4" w:space="0"/>
            </w:tcBorders>
            <w:noWrap w:val="0"/>
            <w:vAlign w:val="center"/>
          </w:tcPr>
          <w:p w14:paraId="3CD98C63">
            <w:pPr>
              <w:keepNext w:val="0"/>
              <w:keepLines w:val="0"/>
              <w:widowControl/>
              <w:suppressLineNumbers w:val="0"/>
              <w:jc w:val="center"/>
              <w:textAlignment w:val="center"/>
              <w:rPr>
                <w:rFonts w:hint="eastAsia" w:ascii="宋体" w:hAnsi="宋体" w:eastAsia="宋体" w:cs="宋体"/>
                <w:b/>
                <w:bCs/>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钢板、克氏针、应变片、压力感测片、取钉器</w:t>
            </w:r>
          </w:p>
        </w:tc>
        <w:tc>
          <w:tcPr>
            <w:tcW w:w="520" w:type="dxa"/>
            <w:tcBorders>
              <w:top w:val="single" w:color="auto" w:sz="4" w:space="0"/>
              <w:left w:val="single" w:color="auto" w:sz="4" w:space="0"/>
              <w:bottom w:val="single" w:color="auto" w:sz="4" w:space="0"/>
              <w:right w:val="single" w:color="auto" w:sz="4" w:space="0"/>
            </w:tcBorders>
            <w:noWrap w:val="0"/>
            <w:vAlign w:val="center"/>
          </w:tcPr>
          <w:p w14:paraId="7D0CE7D2">
            <w:pPr>
              <w:keepNext w:val="0"/>
              <w:keepLines w:val="0"/>
              <w:widowControl/>
              <w:suppressLineNumbers w:val="0"/>
              <w:jc w:val="center"/>
              <w:textAlignment w:val="center"/>
              <w:rPr>
                <w:rFonts w:hint="eastAsia" w:ascii="宋体" w:hAnsi="宋体" w:eastAsia="宋体" w:cs="宋体"/>
                <w:b/>
                <w:bCs/>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220" w:type="dxa"/>
            <w:tcBorders>
              <w:top w:val="single" w:color="auto" w:sz="4" w:space="0"/>
              <w:left w:val="single" w:color="auto" w:sz="4" w:space="0"/>
              <w:bottom w:val="single" w:color="auto" w:sz="4" w:space="0"/>
              <w:right w:val="single" w:color="auto" w:sz="4" w:space="0"/>
            </w:tcBorders>
            <w:noWrap/>
            <w:vAlign w:val="center"/>
          </w:tcPr>
          <w:p w14:paraId="59558C19">
            <w:pPr>
              <w:keepNext w:val="0"/>
              <w:keepLines w:val="0"/>
              <w:widowControl/>
              <w:suppressLineNumbers w:val="0"/>
              <w:jc w:val="center"/>
              <w:textAlignment w:val="center"/>
              <w:rPr>
                <w:rFonts w:hint="eastAsia" w:ascii="宋体" w:hAnsi="宋体" w:eastAsia="宋体" w:cs="宋体"/>
                <w:b/>
                <w:bCs/>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0.2</w:t>
            </w:r>
          </w:p>
        </w:tc>
        <w:tc>
          <w:tcPr>
            <w:tcW w:w="700" w:type="dxa"/>
            <w:tcBorders>
              <w:top w:val="single" w:color="auto" w:sz="4" w:space="0"/>
              <w:left w:val="single" w:color="auto" w:sz="4" w:space="0"/>
              <w:bottom w:val="single" w:color="auto" w:sz="4" w:space="0"/>
              <w:right w:val="single" w:color="auto" w:sz="4" w:space="0"/>
            </w:tcBorders>
            <w:noWrap/>
            <w:vAlign w:val="center"/>
          </w:tcPr>
          <w:p w14:paraId="2723D47C">
            <w:pPr>
              <w:keepNext w:val="0"/>
              <w:keepLines w:val="0"/>
              <w:widowControl/>
              <w:suppressLineNumbers w:val="0"/>
              <w:jc w:val="center"/>
              <w:textAlignment w:val="center"/>
              <w:rPr>
                <w:rFonts w:hint="default" w:ascii="宋体" w:hAnsi="宋体" w:eastAsia="宋体" w:cs="宋体"/>
                <w:b/>
                <w:bCs/>
                <w:kern w:val="0"/>
                <w:sz w:val="20"/>
                <w:szCs w:val="20"/>
                <w:highlight w:val="none"/>
                <w:lang w:val="en-US"/>
              </w:rPr>
            </w:pPr>
            <w:r>
              <w:rPr>
                <w:rFonts w:hint="eastAsia" w:ascii="宋体" w:hAnsi="宋体" w:eastAsia="宋体" w:cs="宋体"/>
                <w:i w:val="0"/>
                <w:iCs w:val="0"/>
                <w:color w:val="000000"/>
                <w:kern w:val="0"/>
                <w:sz w:val="20"/>
                <w:szCs w:val="20"/>
                <w:highlight w:val="none"/>
                <w:u w:val="none"/>
                <w:lang w:val="en-US" w:eastAsia="zh-CN" w:bidi="ar"/>
              </w:rPr>
              <w:t>13</w:t>
            </w:r>
          </w:p>
        </w:tc>
        <w:tc>
          <w:tcPr>
            <w:tcW w:w="730" w:type="dxa"/>
            <w:tcBorders>
              <w:top w:val="single" w:color="auto" w:sz="4" w:space="0"/>
              <w:left w:val="single" w:color="auto" w:sz="4" w:space="0"/>
              <w:bottom w:val="single" w:color="auto" w:sz="4" w:space="0"/>
              <w:right w:val="single" w:color="auto" w:sz="4" w:space="0"/>
            </w:tcBorders>
            <w:noWrap w:val="0"/>
            <w:vAlign w:val="top"/>
          </w:tcPr>
          <w:p w14:paraId="739B5D5B">
            <w:pPr>
              <w:jc w:val="center"/>
              <w:rPr>
                <w:rFonts w:hint="eastAsia" w:ascii="宋体" w:hAnsi="宋体" w:cs="宋体"/>
                <w:b/>
                <w:bCs/>
                <w:kern w:val="0"/>
                <w:sz w:val="20"/>
                <w:szCs w:val="20"/>
                <w:highlight w:val="none"/>
              </w:rPr>
            </w:pPr>
          </w:p>
        </w:tc>
      </w:tr>
      <w:tr w14:paraId="70A577BB">
        <w:tblPrEx>
          <w:tblCellMar>
            <w:top w:w="0" w:type="dxa"/>
            <w:left w:w="108" w:type="dxa"/>
            <w:bottom w:w="0" w:type="dxa"/>
            <w:right w:w="108" w:type="dxa"/>
          </w:tblCellMar>
        </w:tblPrEx>
        <w:trPr>
          <w:trHeight w:val="428"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7AF846EB">
            <w:pPr>
              <w:widowControl/>
              <w:jc w:val="center"/>
              <w:rPr>
                <w:rFonts w:hint="eastAsia" w:ascii="宋体" w:hAnsi="宋体" w:eastAsia="宋体" w:cs="宋体"/>
                <w:b/>
                <w:bCs/>
                <w:color w:val="auto"/>
                <w:kern w:val="0"/>
                <w:sz w:val="20"/>
                <w:szCs w:val="20"/>
                <w:highlight w:val="none"/>
                <w:lang w:val="en-US" w:eastAsia="zh-CN"/>
              </w:rPr>
            </w:pPr>
            <w:r>
              <w:rPr>
                <w:rFonts w:hint="eastAsia" w:ascii="宋体" w:hAnsi="宋体" w:cs="宋体"/>
                <w:b/>
                <w:bCs/>
                <w:color w:val="auto"/>
                <w:kern w:val="0"/>
                <w:sz w:val="20"/>
                <w:szCs w:val="20"/>
                <w:highlight w:val="none"/>
                <w:lang w:val="en-US" w:eastAsia="zh-CN"/>
              </w:rPr>
              <w:t>5</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609EFBB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其他耗材</w:t>
            </w:r>
          </w:p>
        </w:tc>
        <w:tc>
          <w:tcPr>
            <w:tcW w:w="2004" w:type="dxa"/>
            <w:tcBorders>
              <w:top w:val="single" w:color="auto" w:sz="4" w:space="0"/>
              <w:left w:val="nil"/>
              <w:bottom w:val="single" w:color="auto" w:sz="4" w:space="0"/>
              <w:right w:val="single" w:color="auto" w:sz="4" w:space="0"/>
            </w:tcBorders>
            <w:noWrap w:val="0"/>
            <w:vAlign w:val="center"/>
          </w:tcPr>
          <w:p w14:paraId="4A2167F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电线、仿真骨附着点、锯条等</w:t>
            </w:r>
          </w:p>
        </w:tc>
        <w:tc>
          <w:tcPr>
            <w:tcW w:w="520" w:type="dxa"/>
            <w:tcBorders>
              <w:top w:val="single" w:color="auto" w:sz="4" w:space="0"/>
              <w:left w:val="single" w:color="auto" w:sz="4" w:space="0"/>
              <w:bottom w:val="single" w:color="auto" w:sz="4" w:space="0"/>
              <w:right w:val="single" w:color="auto" w:sz="4" w:space="0"/>
            </w:tcBorders>
            <w:noWrap w:val="0"/>
            <w:vAlign w:val="center"/>
          </w:tcPr>
          <w:p w14:paraId="277B206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220" w:type="dxa"/>
            <w:tcBorders>
              <w:top w:val="single" w:color="auto" w:sz="4" w:space="0"/>
              <w:left w:val="single" w:color="auto" w:sz="4" w:space="0"/>
              <w:bottom w:val="single" w:color="auto" w:sz="4" w:space="0"/>
              <w:right w:val="single" w:color="auto" w:sz="4" w:space="0"/>
            </w:tcBorders>
            <w:noWrap/>
            <w:vAlign w:val="center"/>
          </w:tcPr>
          <w:p w14:paraId="013F6CF3">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0.7</w:t>
            </w:r>
          </w:p>
        </w:tc>
        <w:tc>
          <w:tcPr>
            <w:tcW w:w="700" w:type="dxa"/>
            <w:tcBorders>
              <w:top w:val="single" w:color="auto" w:sz="4" w:space="0"/>
              <w:left w:val="single" w:color="auto" w:sz="4" w:space="0"/>
              <w:bottom w:val="single" w:color="auto" w:sz="4" w:space="0"/>
              <w:right w:val="single" w:color="auto" w:sz="4" w:space="0"/>
            </w:tcBorders>
            <w:noWrap/>
            <w:vAlign w:val="center"/>
          </w:tcPr>
          <w:p w14:paraId="791BEC26">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730" w:type="dxa"/>
            <w:tcBorders>
              <w:top w:val="single" w:color="auto" w:sz="4" w:space="0"/>
              <w:left w:val="single" w:color="auto" w:sz="4" w:space="0"/>
              <w:bottom w:val="single" w:color="auto" w:sz="4" w:space="0"/>
              <w:right w:val="single" w:color="auto" w:sz="4" w:space="0"/>
            </w:tcBorders>
            <w:noWrap w:val="0"/>
            <w:vAlign w:val="top"/>
          </w:tcPr>
          <w:p w14:paraId="0C7C679D">
            <w:pPr>
              <w:jc w:val="center"/>
              <w:rPr>
                <w:rFonts w:hint="eastAsia" w:ascii="宋体" w:hAnsi="宋体" w:cs="宋体"/>
                <w:b/>
                <w:bCs/>
                <w:kern w:val="0"/>
                <w:sz w:val="20"/>
                <w:szCs w:val="20"/>
                <w:highlight w:val="none"/>
              </w:rPr>
            </w:pPr>
          </w:p>
        </w:tc>
      </w:tr>
      <w:tr w14:paraId="51E574CC">
        <w:tblPrEx>
          <w:tblCellMar>
            <w:top w:w="0" w:type="dxa"/>
            <w:left w:w="108" w:type="dxa"/>
            <w:bottom w:w="0" w:type="dxa"/>
            <w:right w:w="108" w:type="dxa"/>
          </w:tblCellMar>
        </w:tblPrEx>
        <w:trPr>
          <w:trHeight w:val="428"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524CF6CB">
            <w:pPr>
              <w:widowControl/>
              <w:jc w:val="center"/>
              <w:rPr>
                <w:rFonts w:hint="eastAsia" w:ascii="宋体" w:hAnsi="宋体" w:eastAsia="宋体" w:cs="宋体"/>
                <w:b/>
                <w:bCs/>
                <w:color w:val="auto"/>
                <w:kern w:val="0"/>
                <w:sz w:val="20"/>
                <w:szCs w:val="20"/>
                <w:highlight w:val="none"/>
                <w:lang w:val="en-US" w:eastAsia="zh-CN"/>
              </w:rPr>
            </w:pPr>
            <w:r>
              <w:rPr>
                <w:rFonts w:hint="eastAsia" w:ascii="宋体" w:hAnsi="宋体" w:cs="宋体"/>
                <w:b/>
                <w:bCs/>
                <w:color w:val="auto"/>
                <w:kern w:val="0"/>
                <w:sz w:val="20"/>
                <w:szCs w:val="20"/>
                <w:highlight w:val="none"/>
                <w:lang w:val="en-US" w:eastAsia="zh-CN"/>
              </w:rPr>
              <w:t>6</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6BF0DA9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数据测试分析服务</w:t>
            </w:r>
          </w:p>
        </w:tc>
        <w:tc>
          <w:tcPr>
            <w:tcW w:w="2004" w:type="dxa"/>
            <w:tcBorders>
              <w:top w:val="single" w:color="auto" w:sz="4" w:space="0"/>
              <w:left w:val="nil"/>
              <w:bottom w:val="single" w:color="auto" w:sz="4" w:space="0"/>
              <w:right w:val="single" w:color="auto" w:sz="4" w:space="0"/>
            </w:tcBorders>
            <w:noWrap w:val="0"/>
            <w:vAlign w:val="center"/>
          </w:tcPr>
          <w:p w14:paraId="665E759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CT扫描数据，建立锁骨几何模型</w:t>
            </w:r>
          </w:p>
        </w:tc>
        <w:tc>
          <w:tcPr>
            <w:tcW w:w="520" w:type="dxa"/>
            <w:tcBorders>
              <w:top w:val="single" w:color="auto" w:sz="4" w:space="0"/>
              <w:left w:val="single" w:color="auto" w:sz="4" w:space="0"/>
              <w:bottom w:val="single" w:color="auto" w:sz="4" w:space="0"/>
              <w:right w:val="single" w:color="auto" w:sz="4" w:space="0"/>
            </w:tcBorders>
            <w:noWrap w:val="0"/>
            <w:vAlign w:val="center"/>
          </w:tcPr>
          <w:p w14:paraId="4624B65A">
            <w:pPr>
              <w:keepNext w:val="0"/>
              <w:keepLines w:val="0"/>
              <w:widowControl/>
              <w:suppressLineNumbers w:val="0"/>
              <w:jc w:val="center"/>
              <w:textAlignment w:val="center"/>
              <w:rPr>
                <w:rFonts w:hint="eastAsia" w:ascii="宋体" w:hAnsi="宋体" w:eastAsia="宋体" w:cs="宋体"/>
                <w:b/>
                <w:bCs/>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220" w:type="dxa"/>
            <w:tcBorders>
              <w:top w:val="single" w:color="auto" w:sz="4" w:space="0"/>
              <w:left w:val="single" w:color="auto" w:sz="4" w:space="0"/>
              <w:bottom w:val="single" w:color="auto" w:sz="4" w:space="0"/>
              <w:right w:val="single" w:color="auto" w:sz="4" w:space="0"/>
            </w:tcBorders>
            <w:noWrap/>
            <w:vAlign w:val="center"/>
          </w:tcPr>
          <w:p w14:paraId="089F1C21">
            <w:pPr>
              <w:keepNext w:val="0"/>
              <w:keepLines w:val="0"/>
              <w:widowControl/>
              <w:suppressLineNumbers w:val="0"/>
              <w:jc w:val="center"/>
              <w:textAlignment w:val="center"/>
              <w:rPr>
                <w:rFonts w:hint="eastAsia" w:ascii="宋体" w:hAnsi="宋体" w:eastAsia="宋体" w:cs="宋体"/>
                <w:b/>
                <w:bCs/>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700" w:type="dxa"/>
            <w:tcBorders>
              <w:top w:val="single" w:color="auto" w:sz="4" w:space="0"/>
              <w:left w:val="single" w:color="auto" w:sz="4" w:space="0"/>
              <w:bottom w:val="single" w:color="auto" w:sz="4" w:space="0"/>
              <w:right w:val="single" w:color="auto" w:sz="4" w:space="0"/>
            </w:tcBorders>
            <w:noWrap/>
            <w:vAlign w:val="center"/>
          </w:tcPr>
          <w:p w14:paraId="2788A1DF">
            <w:pPr>
              <w:keepNext w:val="0"/>
              <w:keepLines w:val="0"/>
              <w:widowControl/>
              <w:suppressLineNumbers w:val="0"/>
              <w:jc w:val="center"/>
              <w:textAlignment w:val="center"/>
              <w:rPr>
                <w:rFonts w:hint="eastAsia" w:ascii="宋体" w:hAnsi="宋体" w:eastAsia="宋体" w:cs="宋体"/>
                <w:b/>
                <w:bCs/>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30" w:type="dxa"/>
            <w:tcBorders>
              <w:top w:val="single" w:color="auto" w:sz="4" w:space="0"/>
              <w:left w:val="single" w:color="auto" w:sz="4" w:space="0"/>
              <w:bottom w:val="single" w:color="auto" w:sz="4" w:space="0"/>
              <w:right w:val="single" w:color="auto" w:sz="4" w:space="0"/>
            </w:tcBorders>
            <w:noWrap w:val="0"/>
            <w:vAlign w:val="top"/>
          </w:tcPr>
          <w:p w14:paraId="7E100848">
            <w:pPr>
              <w:jc w:val="center"/>
              <w:rPr>
                <w:rFonts w:hint="eastAsia" w:ascii="宋体" w:hAnsi="宋体" w:cs="宋体"/>
                <w:b/>
                <w:bCs/>
                <w:kern w:val="0"/>
                <w:sz w:val="20"/>
                <w:szCs w:val="20"/>
                <w:highlight w:val="none"/>
              </w:rPr>
            </w:pPr>
          </w:p>
        </w:tc>
      </w:tr>
      <w:tr w14:paraId="01A6840F">
        <w:tblPrEx>
          <w:tblCellMar>
            <w:top w:w="0" w:type="dxa"/>
            <w:left w:w="108" w:type="dxa"/>
            <w:bottom w:w="0" w:type="dxa"/>
            <w:right w:w="108" w:type="dxa"/>
          </w:tblCellMar>
        </w:tblPrEx>
        <w:trPr>
          <w:trHeight w:val="428"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609D55A0">
            <w:pPr>
              <w:widowControl/>
              <w:jc w:val="center"/>
              <w:rPr>
                <w:rFonts w:hint="eastAsia" w:ascii="宋体" w:hAnsi="宋体" w:eastAsia="宋体" w:cs="宋体"/>
                <w:b/>
                <w:bCs/>
                <w:color w:val="auto"/>
                <w:kern w:val="0"/>
                <w:sz w:val="20"/>
                <w:szCs w:val="20"/>
                <w:highlight w:val="none"/>
                <w:lang w:val="en-US" w:eastAsia="zh-CN"/>
              </w:rPr>
            </w:pPr>
            <w:r>
              <w:rPr>
                <w:rFonts w:hint="eastAsia" w:ascii="宋体" w:hAnsi="宋体" w:cs="宋体"/>
                <w:b/>
                <w:bCs/>
                <w:color w:val="auto"/>
                <w:kern w:val="0"/>
                <w:sz w:val="20"/>
                <w:szCs w:val="20"/>
                <w:highlight w:val="none"/>
                <w:lang w:val="en-US" w:eastAsia="zh-CN"/>
              </w:rPr>
              <w:t>7</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0CA1EF3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数据测试分析服务</w:t>
            </w:r>
          </w:p>
        </w:tc>
        <w:tc>
          <w:tcPr>
            <w:tcW w:w="2004" w:type="dxa"/>
            <w:tcBorders>
              <w:top w:val="single" w:color="auto" w:sz="4" w:space="0"/>
              <w:left w:val="nil"/>
              <w:bottom w:val="single" w:color="auto" w:sz="4" w:space="0"/>
              <w:right w:val="single" w:color="auto" w:sz="4" w:space="0"/>
            </w:tcBorders>
            <w:noWrap w:val="0"/>
            <w:vAlign w:val="center"/>
          </w:tcPr>
          <w:p w14:paraId="6BA42A6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骨中段横断、斜行骨折三维几何模型</w:t>
            </w:r>
          </w:p>
        </w:tc>
        <w:tc>
          <w:tcPr>
            <w:tcW w:w="520" w:type="dxa"/>
            <w:tcBorders>
              <w:top w:val="single" w:color="auto" w:sz="4" w:space="0"/>
              <w:left w:val="single" w:color="auto" w:sz="4" w:space="0"/>
              <w:bottom w:val="single" w:color="auto" w:sz="4" w:space="0"/>
              <w:right w:val="single" w:color="auto" w:sz="4" w:space="0"/>
            </w:tcBorders>
            <w:noWrap w:val="0"/>
            <w:vAlign w:val="center"/>
          </w:tcPr>
          <w:p w14:paraId="52C67DDC">
            <w:pPr>
              <w:keepNext w:val="0"/>
              <w:keepLines w:val="0"/>
              <w:widowControl/>
              <w:suppressLineNumbers w:val="0"/>
              <w:jc w:val="center"/>
              <w:textAlignment w:val="center"/>
              <w:rPr>
                <w:rFonts w:hint="eastAsia" w:ascii="宋体" w:hAnsi="宋体" w:eastAsia="宋体" w:cs="宋体"/>
                <w:b/>
                <w:bCs/>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220" w:type="dxa"/>
            <w:tcBorders>
              <w:top w:val="single" w:color="auto" w:sz="4" w:space="0"/>
              <w:left w:val="single" w:color="auto" w:sz="4" w:space="0"/>
              <w:bottom w:val="single" w:color="auto" w:sz="4" w:space="0"/>
              <w:right w:val="single" w:color="auto" w:sz="4" w:space="0"/>
            </w:tcBorders>
            <w:noWrap/>
            <w:vAlign w:val="center"/>
          </w:tcPr>
          <w:p w14:paraId="4B31FDD4">
            <w:pPr>
              <w:keepNext w:val="0"/>
              <w:keepLines w:val="0"/>
              <w:widowControl/>
              <w:suppressLineNumbers w:val="0"/>
              <w:jc w:val="center"/>
              <w:textAlignment w:val="center"/>
              <w:rPr>
                <w:rFonts w:hint="eastAsia" w:ascii="宋体" w:hAnsi="宋体" w:eastAsia="宋体" w:cs="宋体"/>
                <w:b/>
                <w:bCs/>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0.5</w:t>
            </w:r>
          </w:p>
        </w:tc>
        <w:tc>
          <w:tcPr>
            <w:tcW w:w="700" w:type="dxa"/>
            <w:tcBorders>
              <w:top w:val="single" w:color="auto" w:sz="4" w:space="0"/>
              <w:left w:val="single" w:color="auto" w:sz="4" w:space="0"/>
              <w:bottom w:val="single" w:color="auto" w:sz="4" w:space="0"/>
              <w:right w:val="single" w:color="auto" w:sz="4" w:space="0"/>
            </w:tcBorders>
            <w:noWrap/>
            <w:vAlign w:val="center"/>
          </w:tcPr>
          <w:p w14:paraId="21DF0C5B">
            <w:pPr>
              <w:keepNext w:val="0"/>
              <w:keepLines w:val="0"/>
              <w:widowControl/>
              <w:suppressLineNumbers w:val="0"/>
              <w:jc w:val="center"/>
              <w:textAlignment w:val="center"/>
              <w:rPr>
                <w:rFonts w:hint="eastAsia" w:ascii="宋体" w:hAnsi="宋体" w:eastAsia="宋体" w:cs="宋体"/>
                <w:b/>
                <w:bCs/>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730" w:type="dxa"/>
            <w:tcBorders>
              <w:top w:val="single" w:color="auto" w:sz="4" w:space="0"/>
              <w:left w:val="single" w:color="auto" w:sz="4" w:space="0"/>
              <w:bottom w:val="single" w:color="auto" w:sz="4" w:space="0"/>
              <w:right w:val="single" w:color="auto" w:sz="4" w:space="0"/>
            </w:tcBorders>
            <w:noWrap w:val="0"/>
            <w:vAlign w:val="top"/>
          </w:tcPr>
          <w:p w14:paraId="6D315973">
            <w:pPr>
              <w:jc w:val="center"/>
              <w:rPr>
                <w:rFonts w:hint="eastAsia" w:ascii="宋体" w:hAnsi="宋体" w:cs="宋体"/>
                <w:b/>
                <w:bCs/>
                <w:kern w:val="0"/>
                <w:sz w:val="20"/>
                <w:szCs w:val="20"/>
                <w:highlight w:val="none"/>
              </w:rPr>
            </w:pPr>
          </w:p>
        </w:tc>
      </w:tr>
      <w:tr w14:paraId="7E6F17F4">
        <w:tblPrEx>
          <w:tblCellMar>
            <w:top w:w="0" w:type="dxa"/>
            <w:left w:w="108" w:type="dxa"/>
            <w:bottom w:w="0" w:type="dxa"/>
            <w:right w:w="108" w:type="dxa"/>
          </w:tblCellMar>
        </w:tblPrEx>
        <w:trPr>
          <w:trHeight w:val="428"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2F6FF29F">
            <w:pPr>
              <w:widowControl/>
              <w:jc w:val="center"/>
              <w:rPr>
                <w:rFonts w:hint="eastAsia" w:ascii="宋体" w:hAnsi="宋体" w:eastAsia="宋体" w:cs="宋体"/>
                <w:b/>
                <w:bCs/>
                <w:color w:val="auto"/>
                <w:kern w:val="0"/>
                <w:sz w:val="20"/>
                <w:szCs w:val="20"/>
                <w:highlight w:val="none"/>
                <w:lang w:val="en-US" w:eastAsia="zh-CN"/>
              </w:rPr>
            </w:pPr>
            <w:r>
              <w:rPr>
                <w:rFonts w:hint="eastAsia" w:ascii="宋体" w:hAnsi="宋体" w:cs="宋体"/>
                <w:b/>
                <w:bCs/>
                <w:color w:val="auto"/>
                <w:kern w:val="0"/>
                <w:sz w:val="20"/>
                <w:szCs w:val="20"/>
                <w:highlight w:val="none"/>
                <w:lang w:val="en-US" w:eastAsia="zh-CN"/>
              </w:rPr>
              <w:t>8</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4508DEC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数据测试分析服务</w:t>
            </w:r>
          </w:p>
        </w:tc>
        <w:tc>
          <w:tcPr>
            <w:tcW w:w="2004" w:type="dxa"/>
            <w:tcBorders>
              <w:top w:val="single" w:color="auto" w:sz="4" w:space="0"/>
              <w:left w:val="nil"/>
              <w:bottom w:val="single" w:color="auto" w:sz="4" w:space="0"/>
              <w:right w:val="single" w:color="auto" w:sz="4" w:space="0"/>
            </w:tcBorders>
            <w:noWrap w:val="0"/>
            <w:vAlign w:val="center"/>
          </w:tcPr>
          <w:p w14:paraId="11D5380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骨中段横断、斜行骨折三维有限元模型</w:t>
            </w:r>
          </w:p>
        </w:tc>
        <w:tc>
          <w:tcPr>
            <w:tcW w:w="520" w:type="dxa"/>
            <w:tcBorders>
              <w:top w:val="single" w:color="auto" w:sz="4" w:space="0"/>
              <w:left w:val="single" w:color="auto" w:sz="4" w:space="0"/>
              <w:bottom w:val="single" w:color="auto" w:sz="4" w:space="0"/>
              <w:right w:val="single" w:color="auto" w:sz="4" w:space="0"/>
            </w:tcBorders>
            <w:noWrap w:val="0"/>
            <w:vAlign w:val="center"/>
          </w:tcPr>
          <w:p w14:paraId="5FF49BB3">
            <w:pPr>
              <w:keepNext w:val="0"/>
              <w:keepLines w:val="0"/>
              <w:widowControl/>
              <w:suppressLineNumbers w:val="0"/>
              <w:jc w:val="center"/>
              <w:textAlignment w:val="center"/>
              <w:rPr>
                <w:rFonts w:hint="eastAsia" w:ascii="宋体" w:hAnsi="宋体" w:eastAsia="宋体" w:cs="宋体"/>
                <w:b/>
                <w:bCs/>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220" w:type="dxa"/>
            <w:tcBorders>
              <w:top w:val="single" w:color="auto" w:sz="4" w:space="0"/>
              <w:left w:val="single" w:color="auto" w:sz="4" w:space="0"/>
              <w:bottom w:val="single" w:color="auto" w:sz="4" w:space="0"/>
              <w:right w:val="single" w:color="auto" w:sz="4" w:space="0"/>
            </w:tcBorders>
            <w:noWrap/>
            <w:vAlign w:val="center"/>
          </w:tcPr>
          <w:p w14:paraId="15E58CD4">
            <w:pPr>
              <w:keepNext w:val="0"/>
              <w:keepLines w:val="0"/>
              <w:widowControl/>
              <w:suppressLineNumbers w:val="0"/>
              <w:jc w:val="center"/>
              <w:textAlignment w:val="center"/>
              <w:rPr>
                <w:rFonts w:hint="eastAsia" w:ascii="宋体" w:hAnsi="宋体" w:eastAsia="宋体" w:cs="宋体"/>
                <w:b/>
                <w:bCs/>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0.7</w:t>
            </w:r>
          </w:p>
        </w:tc>
        <w:tc>
          <w:tcPr>
            <w:tcW w:w="700" w:type="dxa"/>
            <w:tcBorders>
              <w:top w:val="single" w:color="auto" w:sz="4" w:space="0"/>
              <w:left w:val="single" w:color="auto" w:sz="4" w:space="0"/>
              <w:bottom w:val="single" w:color="auto" w:sz="4" w:space="0"/>
              <w:right w:val="single" w:color="auto" w:sz="4" w:space="0"/>
            </w:tcBorders>
            <w:noWrap/>
            <w:vAlign w:val="center"/>
          </w:tcPr>
          <w:p w14:paraId="05F5AEC4">
            <w:pPr>
              <w:keepNext w:val="0"/>
              <w:keepLines w:val="0"/>
              <w:widowControl/>
              <w:suppressLineNumbers w:val="0"/>
              <w:jc w:val="center"/>
              <w:textAlignment w:val="center"/>
              <w:rPr>
                <w:rFonts w:hint="eastAsia" w:ascii="宋体" w:hAnsi="宋体" w:eastAsia="宋体" w:cs="宋体"/>
                <w:b/>
                <w:bCs/>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730" w:type="dxa"/>
            <w:tcBorders>
              <w:top w:val="single" w:color="auto" w:sz="4" w:space="0"/>
              <w:left w:val="single" w:color="auto" w:sz="4" w:space="0"/>
              <w:bottom w:val="single" w:color="auto" w:sz="4" w:space="0"/>
              <w:right w:val="single" w:color="auto" w:sz="4" w:space="0"/>
            </w:tcBorders>
            <w:noWrap w:val="0"/>
            <w:vAlign w:val="top"/>
          </w:tcPr>
          <w:p w14:paraId="4432CDD3">
            <w:pPr>
              <w:jc w:val="center"/>
              <w:rPr>
                <w:rFonts w:hint="eastAsia" w:ascii="宋体" w:hAnsi="宋体" w:cs="宋体"/>
                <w:b/>
                <w:bCs/>
                <w:kern w:val="0"/>
                <w:sz w:val="20"/>
                <w:szCs w:val="20"/>
                <w:highlight w:val="none"/>
              </w:rPr>
            </w:pPr>
          </w:p>
        </w:tc>
      </w:tr>
      <w:tr w14:paraId="70C5DEB3">
        <w:tblPrEx>
          <w:tblCellMar>
            <w:top w:w="0" w:type="dxa"/>
            <w:left w:w="108" w:type="dxa"/>
            <w:bottom w:w="0" w:type="dxa"/>
            <w:right w:w="108" w:type="dxa"/>
          </w:tblCellMar>
        </w:tblPrEx>
        <w:trPr>
          <w:trHeight w:val="428"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796F8B17">
            <w:pPr>
              <w:widowControl/>
              <w:jc w:val="center"/>
              <w:rPr>
                <w:rFonts w:hint="default" w:ascii="宋体" w:hAnsi="宋体" w:eastAsia="宋体" w:cs="宋体"/>
                <w:b/>
                <w:bCs/>
                <w:color w:val="auto"/>
                <w:kern w:val="0"/>
                <w:sz w:val="20"/>
                <w:szCs w:val="20"/>
                <w:highlight w:val="none"/>
                <w:lang w:val="en-US" w:eastAsia="zh-CN"/>
              </w:rPr>
            </w:pPr>
            <w:r>
              <w:rPr>
                <w:rFonts w:hint="eastAsia" w:ascii="宋体" w:hAnsi="宋体" w:cs="宋体"/>
                <w:b/>
                <w:bCs/>
                <w:color w:val="auto"/>
                <w:kern w:val="0"/>
                <w:sz w:val="20"/>
                <w:szCs w:val="20"/>
                <w:highlight w:val="none"/>
                <w:lang w:val="en-US" w:eastAsia="zh-CN"/>
              </w:rPr>
              <w:t>9</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0D07717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动态力学平衡数据测试分析服务</w:t>
            </w:r>
          </w:p>
        </w:tc>
        <w:tc>
          <w:tcPr>
            <w:tcW w:w="2004" w:type="dxa"/>
            <w:tcBorders>
              <w:top w:val="single" w:color="auto" w:sz="4" w:space="0"/>
              <w:left w:val="nil"/>
              <w:bottom w:val="single" w:color="auto" w:sz="4" w:space="0"/>
              <w:right w:val="single" w:color="auto" w:sz="4" w:space="0"/>
            </w:tcBorders>
            <w:noWrap w:val="0"/>
            <w:vAlign w:val="center"/>
          </w:tcPr>
          <w:p w14:paraId="62948C8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金针复位技术治疗骨中段横断、斜行骨折刚弹耦合数值分析</w:t>
            </w:r>
          </w:p>
        </w:tc>
        <w:tc>
          <w:tcPr>
            <w:tcW w:w="520" w:type="dxa"/>
            <w:tcBorders>
              <w:top w:val="single" w:color="auto" w:sz="4" w:space="0"/>
              <w:left w:val="single" w:color="auto" w:sz="4" w:space="0"/>
              <w:bottom w:val="single" w:color="auto" w:sz="4" w:space="0"/>
              <w:right w:val="single" w:color="auto" w:sz="4" w:space="0"/>
            </w:tcBorders>
            <w:noWrap w:val="0"/>
            <w:vAlign w:val="center"/>
          </w:tcPr>
          <w:p w14:paraId="5BF9936F">
            <w:pPr>
              <w:keepNext w:val="0"/>
              <w:keepLines w:val="0"/>
              <w:widowControl/>
              <w:suppressLineNumbers w:val="0"/>
              <w:jc w:val="center"/>
              <w:textAlignment w:val="center"/>
              <w:rPr>
                <w:rFonts w:hint="eastAsia" w:ascii="宋体" w:hAnsi="宋体" w:eastAsia="宋体" w:cs="宋体"/>
                <w:b/>
                <w:bCs/>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220" w:type="dxa"/>
            <w:tcBorders>
              <w:top w:val="single" w:color="auto" w:sz="4" w:space="0"/>
              <w:left w:val="single" w:color="auto" w:sz="4" w:space="0"/>
              <w:bottom w:val="single" w:color="auto" w:sz="4" w:space="0"/>
              <w:right w:val="single" w:color="auto" w:sz="4" w:space="0"/>
            </w:tcBorders>
            <w:noWrap/>
            <w:vAlign w:val="center"/>
          </w:tcPr>
          <w:p w14:paraId="55AC8BA6">
            <w:pPr>
              <w:keepNext w:val="0"/>
              <w:keepLines w:val="0"/>
              <w:widowControl/>
              <w:suppressLineNumbers w:val="0"/>
              <w:jc w:val="center"/>
              <w:textAlignment w:val="center"/>
              <w:rPr>
                <w:rFonts w:hint="eastAsia" w:ascii="宋体" w:hAnsi="宋体" w:eastAsia="宋体" w:cs="宋体"/>
                <w:b/>
                <w:bCs/>
                <w:kern w:val="0"/>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1.5</w:t>
            </w:r>
          </w:p>
        </w:tc>
        <w:tc>
          <w:tcPr>
            <w:tcW w:w="700" w:type="dxa"/>
            <w:tcBorders>
              <w:top w:val="single" w:color="auto" w:sz="4" w:space="0"/>
              <w:left w:val="single" w:color="auto" w:sz="4" w:space="0"/>
              <w:bottom w:val="single" w:color="auto" w:sz="4" w:space="0"/>
              <w:right w:val="single" w:color="auto" w:sz="4" w:space="0"/>
            </w:tcBorders>
            <w:noWrap/>
            <w:vAlign w:val="center"/>
          </w:tcPr>
          <w:p w14:paraId="04DC9A7C">
            <w:pPr>
              <w:keepNext w:val="0"/>
              <w:keepLines w:val="0"/>
              <w:widowControl/>
              <w:suppressLineNumbers w:val="0"/>
              <w:jc w:val="center"/>
              <w:textAlignment w:val="center"/>
              <w:rPr>
                <w:rFonts w:hint="eastAsia" w:ascii="宋体" w:hAnsi="宋体" w:eastAsia="宋体" w:cs="宋体"/>
                <w:b/>
                <w:bCs/>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730" w:type="dxa"/>
            <w:tcBorders>
              <w:top w:val="single" w:color="auto" w:sz="4" w:space="0"/>
              <w:left w:val="single" w:color="auto" w:sz="4" w:space="0"/>
              <w:bottom w:val="single" w:color="auto" w:sz="4" w:space="0"/>
              <w:right w:val="single" w:color="auto" w:sz="4" w:space="0"/>
            </w:tcBorders>
            <w:noWrap w:val="0"/>
            <w:vAlign w:val="top"/>
          </w:tcPr>
          <w:p w14:paraId="42C19165">
            <w:pPr>
              <w:jc w:val="center"/>
              <w:rPr>
                <w:rFonts w:hint="eastAsia" w:ascii="宋体" w:hAnsi="宋体" w:cs="宋体"/>
                <w:b/>
                <w:bCs/>
                <w:kern w:val="0"/>
                <w:sz w:val="20"/>
                <w:szCs w:val="20"/>
                <w:highlight w:val="none"/>
              </w:rPr>
            </w:pPr>
          </w:p>
        </w:tc>
      </w:tr>
      <w:tr w14:paraId="20478146">
        <w:tblPrEx>
          <w:tblCellMar>
            <w:top w:w="0" w:type="dxa"/>
            <w:left w:w="108" w:type="dxa"/>
            <w:bottom w:w="0" w:type="dxa"/>
            <w:right w:w="108" w:type="dxa"/>
          </w:tblCellMar>
        </w:tblPrEx>
        <w:trPr>
          <w:trHeight w:val="428"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0058D360">
            <w:pPr>
              <w:widowControl/>
              <w:jc w:val="center"/>
              <w:rPr>
                <w:rFonts w:hint="default" w:ascii="宋体" w:hAnsi="宋体" w:eastAsia="宋体" w:cs="宋体"/>
                <w:b/>
                <w:bCs/>
                <w:color w:val="auto"/>
                <w:kern w:val="0"/>
                <w:sz w:val="20"/>
                <w:szCs w:val="20"/>
                <w:highlight w:val="none"/>
                <w:lang w:val="en-US" w:eastAsia="zh-CN"/>
              </w:rPr>
            </w:pPr>
            <w:r>
              <w:rPr>
                <w:rFonts w:hint="eastAsia" w:ascii="宋体" w:hAnsi="宋体" w:cs="宋体"/>
                <w:b/>
                <w:bCs/>
                <w:color w:val="auto"/>
                <w:kern w:val="0"/>
                <w:sz w:val="20"/>
                <w:szCs w:val="20"/>
                <w:highlight w:val="none"/>
                <w:lang w:val="en-US" w:eastAsia="zh-CN"/>
              </w:rPr>
              <w:t>10</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0AE95E6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数据测试分析服务</w:t>
            </w:r>
          </w:p>
        </w:tc>
        <w:tc>
          <w:tcPr>
            <w:tcW w:w="2004" w:type="dxa"/>
            <w:tcBorders>
              <w:top w:val="single" w:color="auto" w:sz="4" w:space="0"/>
              <w:left w:val="nil"/>
              <w:bottom w:val="single" w:color="auto" w:sz="4" w:space="0"/>
              <w:right w:val="single" w:color="auto" w:sz="4" w:space="0"/>
            </w:tcBorders>
            <w:noWrap w:val="0"/>
            <w:vAlign w:val="center"/>
          </w:tcPr>
          <w:p w14:paraId="3EF267F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采用几何模型、有限元模型钢板内固定分析（骨中段横断、斜行骨折）</w:t>
            </w:r>
          </w:p>
        </w:tc>
        <w:tc>
          <w:tcPr>
            <w:tcW w:w="520" w:type="dxa"/>
            <w:tcBorders>
              <w:top w:val="single" w:color="auto" w:sz="4" w:space="0"/>
              <w:left w:val="single" w:color="auto" w:sz="4" w:space="0"/>
              <w:bottom w:val="single" w:color="auto" w:sz="4" w:space="0"/>
              <w:right w:val="single" w:color="auto" w:sz="4" w:space="0"/>
            </w:tcBorders>
            <w:noWrap w:val="0"/>
            <w:vAlign w:val="center"/>
          </w:tcPr>
          <w:p w14:paraId="76D7FAF3">
            <w:pPr>
              <w:keepNext w:val="0"/>
              <w:keepLines w:val="0"/>
              <w:widowControl/>
              <w:suppressLineNumbers w:val="0"/>
              <w:jc w:val="center"/>
              <w:textAlignment w:val="center"/>
              <w:rPr>
                <w:rFonts w:hint="eastAsia" w:ascii="宋体" w:hAnsi="宋体" w:eastAsia="宋体" w:cs="宋体"/>
                <w:b/>
                <w:bCs/>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220" w:type="dxa"/>
            <w:tcBorders>
              <w:top w:val="single" w:color="auto" w:sz="4" w:space="0"/>
              <w:left w:val="single" w:color="auto" w:sz="4" w:space="0"/>
              <w:bottom w:val="single" w:color="auto" w:sz="4" w:space="0"/>
              <w:right w:val="single" w:color="auto" w:sz="4" w:space="0"/>
            </w:tcBorders>
            <w:noWrap/>
            <w:vAlign w:val="center"/>
          </w:tcPr>
          <w:p w14:paraId="5CED91A1">
            <w:pPr>
              <w:keepNext w:val="0"/>
              <w:keepLines w:val="0"/>
              <w:widowControl/>
              <w:suppressLineNumbers w:val="0"/>
              <w:jc w:val="center"/>
              <w:textAlignment w:val="center"/>
              <w:rPr>
                <w:rFonts w:hint="eastAsia" w:ascii="宋体" w:hAnsi="宋体" w:eastAsia="宋体" w:cs="宋体"/>
                <w:b/>
                <w:bCs/>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0.9</w:t>
            </w:r>
          </w:p>
        </w:tc>
        <w:tc>
          <w:tcPr>
            <w:tcW w:w="700" w:type="dxa"/>
            <w:tcBorders>
              <w:top w:val="single" w:color="auto" w:sz="4" w:space="0"/>
              <w:left w:val="single" w:color="auto" w:sz="4" w:space="0"/>
              <w:bottom w:val="single" w:color="auto" w:sz="4" w:space="0"/>
              <w:right w:val="single" w:color="auto" w:sz="4" w:space="0"/>
            </w:tcBorders>
            <w:noWrap/>
            <w:vAlign w:val="center"/>
          </w:tcPr>
          <w:p w14:paraId="0E1F03FD">
            <w:pPr>
              <w:keepNext w:val="0"/>
              <w:keepLines w:val="0"/>
              <w:widowControl/>
              <w:suppressLineNumbers w:val="0"/>
              <w:jc w:val="center"/>
              <w:textAlignment w:val="center"/>
              <w:rPr>
                <w:rFonts w:hint="eastAsia" w:ascii="宋体" w:hAnsi="宋体" w:eastAsia="宋体" w:cs="宋体"/>
                <w:b/>
                <w:bCs/>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730" w:type="dxa"/>
            <w:tcBorders>
              <w:top w:val="single" w:color="auto" w:sz="4" w:space="0"/>
              <w:left w:val="single" w:color="auto" w:sz="4" w:space="0"/>
              <w:bottom w:val="single" w:color="auto" w:sz="4" w:space="0"/>
              <w:right w:val="single" w:color="auto" w:sz="4" w:space="0"/>
            </w:tcBorders>
            <w:noWrap w:val="0"/>
            <w:vAlign w:val="top"/>
          </w:tcPr>
          <w:p w14:paraId="661803D9">
            <w:pPr>
              <w:jc w:val="center"/>
              <w:rPr>
                <w:rFonts w:hint="eastAsia" w:ascii="宋体" w:hAnsi="宋体" w:cs="宋体"/>
                <w:b/>
                <w:bCs/>
                <w:kern w:val="0"/>
                <w:sz w:val="20"/>
                <w:szCs w:val="20"/>
                <w:highlight w:val="none"/>
              </w:rPr>
            </w:pPr>
          </w:p>
        </w:tc>
      </w:tr>
    </w:tbl>
    <w:p w14:paraId="71519030">
      <w:pPr>
        <w:autoSpaceDE w:val="0"/>
        <w:autoSpaceDN w:val="0"/>
        <w:spacing w:line="360" w:lineRule="auto"/>
        <w:ind w:firstLine="482" w:firstLineChars="200"/>
        <w:rPr>
          <w:rFonts w:hint="eastAsia"/>
          <w:b/>
          <w:sz w:val="24"/>
          <w:highlight w:val="none"/>
        </w:rPr>
      </w:pPr>
      <w:r>
        <w:rPr>
          <w:rFonts w:hint="eastAsia"/>
          <w:b/>
          <w:sz w:val="24"/>
          <w:highlight w:val="none"/>
        </w:rPr>
        <w:t>五、付款方式</w:t>
      </w:r>
    </w:p>
    <w:p w14:paraId="4AFFCA97">
      <w:pPr>
        <w:pStyle w:val="5"/>
        <w:rPr>
          <w:rFonts w:hint="eastAsia"/>
          <w:highlight w:val="none"/>
          <w:lang w:val="en-US"/>
        </w:rPr>
      </w:pPr>
      <w:r>
        <w:rPr>
          <w:rFonts w:hint="eastAsia"/>
          <w:highlight w:val="none"/>
          <w:lang w:val="en-US"/>
        </w:rPr>
        <w:t>1.结算依据：合同签订生效后，按照医院结算要求，</w:t>
      </w:r>
      <w:r>
        <w:rPr>
          <w:rFonts w:hint="eastAsia"/>
          <w:highlight w:val="none"/>
          <w:lang w:val="en-US" w:eastAsia="zh-CN"/>
        </w:rPr>
        <w:t>成交</w:t>
      </w:r>
      <w:r>
        <w:rPr>
          <w:rFonts w:hint="eastAsia"/>
          <w:highlight w:val="none"/>
          <w:lang w:val="en-US"/>
        </w:rPr>
        <w:t>方提供生效的随货单，经医院确认无误后作为双方结算的依据，</w:t>
      </w:r>
      <w:r>
        <w:rPr>
          <w:rFonts w:hint="eastAsia"/>
          <w:highlight w:val="none"/>
          <w:lang w:val="en-US" w:eastAsia="zh-CN"/>
        </w:rPr>
        <w:t>成交</w:t>
      </w:r>
      <w:r>
        <w:rPr>
          <w:rFonts w:hint="eastAsia"/>
          <w:highlight w:val="none"/>
          <w:lang w:val="en-US"/>
        </w:rPr>
        <w:t>方开具发票。</w:t>
      </w:r>
    </w:p>
    <w:p w14:paraId="7DAF388A">
      <w:pPr>
        <w:pStyle w:val="5"/>
        <w:rPr>
          <w:rFonts w:hint="eastAsia"/>
          <w:highlight w:val="none"/>
          <w:lang w:val="en-US"/>
        </w:rPr>
      </w:pPr>
      <w:r>
        <w:rPr>
          <w:rFonts w:hint="eastAsia"/>
          <w:highlight w:val="none"/>
          <w:lang w:val="en-US"/>
        </w:rPr>
        <w:t>2.结算方式：医院凭双方确认的结算依据，6个月内给予付款。(特殊情况以合同为准)。</w:t>
      </w:r>
    </w:p>
    <w:p w14:paraId="6B6D407E">
      <w:pPr>
        <w:autoSpaceDE w:val="0"/>
        <w:autoSpaceDN w:val="0"/>
        <w:spacing w:line="360" w:lineRule="auto"/>
        <w:ind w:firstLine="482" w:firstLineChars="200"/>
        <w:rPr>
          <w:rFonts w:hint="eastAsia"/>
          <w:b/>
          <w:sz w:val="24"/>
          <w:highlight w:val="none"/>
        </w:rPr>
      </w:pPr>
      <w:r>
        <w:rPr>
          <w:rFonts w:hint="eastAsia"/>
          <w:b/>
          <w:sz w:val="24"/>
          <w:highlight w:val="none"/>
        </w:rPr>
        <w:t>六、验收标准</w:t>
      </w:r>
    </w:p>
    <w:p w14:paraId="76665DE5">
      <w:pPr>
        <w:spacing w:line="360" w:lineRule="auto"/>
        <w:ind w:firstLine="480" w:firstLineChars="200"/>
        <w:rPr>
          <w:rFonts w:hint="eastAsia"/>
          <w:sz w:val="24"/>
          <w:szCs w:val="22"/>
          <w:highlight w:val="none"/>
          <w:lang w:val="zh-CN"/>
        </w:rPr>
      </w:pPr>
      <w:r>
        <w:rPr>
          <w:rFonts w:hint="eastAsia"/>
          <w:sz w:val="24"/>
          <w:szCs w:val="22"/>
          <w:highlight w:val="none"/>
          <w:lang w:val="zh-CN"/>
        </w:rPr>
        <w:t>1.所有货物须按标准防护措施进行包装，以确保运输过程中不受损坏。</w:t>
      </w:r>
    </w:p>
    <w:p w14:paraId="51556AA4">
      <w:pPr>
        <w:spacing w:line="360" w:lineRule="auto"/>
        <w:ind w:firstLine="480" w:firstLineChars="200"/>
        <w:rPr>
          <w:rFonts w:hint="eastAsia"/>
          <w:sz w:val="24"/>
          <w:szCs w:val="22"/>
          <w:highlight w:val="none"/>
          <w:lang w:val="zh-CN"/>
        </w:rPr>
      </w:pPr>
      <w:r>
        <w:rPr>
          <w:rFonts w:hint="eastAsia"/>
          <w:sz w:val="24"/>
          <w:szCs w:val="22"/>
          <w:highlight w:val="none"/>
          <w:lang w:val="zh-CN"/>
        </w:rPr>
        <w:t>2.供应商提供的产品必须符合制造商标准及相关质量标准。采购人有权根据产品制造商的技术标准进行验收，若产品不符合要求，采购人有权拒收并要求供应商更换，供应商需承担更换产生的全部费用。</w:t>
      </w:r>
    </w:p>
    <w:p w14:paraId="0DF5F40B">
      <w:pPr>
        <w:spacing w:line="360" w:lineRule="auto"/>
        <w:ind w:firstLine="480" w:firstLineChars="200"/>
        <w:rPr>
          <w:rFonts w:hint="eastAsia"/>
          <w:sz w:val="24"/>
          <w:szCs w:val="22"/>
          <w:highlight w:val="none"/>
          <w:lang w:val="zh-CN"/>
        </w:rPr>
      </w:pPr>
      <w:r>
        <w:rPr>
          <w:rFonts w:hint="eastAsia"/>
          <w:sz w:val="24"/>
          <w:szCs w:val="22"/>
          <w:highlight w:val="none"/>
          <w:lang w:val="zh-CN"/>
        </w:rPr>
        <w:t>3.采购人可委托第三方机构对产品及服务进行检验，若发现虚假应标或货物不合格，采购人有权追究供应商责任，检验费用由供应商承担。</w:t>
      </w:r>
    </w:p>
    <w:p w14:paraId="0260B55D">
      <w:pPr>
        <w:pStyle w:val="5"/>
        <w:ind w:firstLine="482"/>
        <w:rPr>
          <w:rFonts w:hint="eastAsia"/>
          <w:b/>
          <w:bCs/>
          <w:highlight w:val="none"/>
          <w:lang w:val="en-US"/>
        </w:rPr>
      </w:pPr>
      <w:r>
        <w:rPr>
          <w:rFonts w:hint="eastAsia"/>
          <w:b/>
          <w:bCs/>
          <w:highlight w:val="none"/>
          <w:lang w:val="en-US"/>
        </w:rPr>
        <w:t>七、其他要求</w:t>
      </w:r>
    </w:p>
    <w:p w14:paraId="01DA46E3">
      <w:pPr>
        <w:pStyle w:val="5"/>
        <w:rPr>
          <w:rFonts w:hint="eastAsia"/>
          <w:highlight w:val="none"/>
          <w:lang w:val="en-US"/>
        </w:rPr>
      </w:pPr>
      <w:r>
        <w:rPr>
          <w:rFonts w:hint="eastAsia"/>
          <w:highlight w:val="none"/>
          <w:lang w:val="en-US"/>
        </w:rPr>
        <w:t>1.售后服务保障</w:t>
      </w:r>
    </w:p>
    <w:p w14:paraId="2C5A68B8">
      <w:pPr>
        <w:pStyle w:val="5"/>
        <w:rPr>
          <w:rFonts w:hint="eastAsia"/>
          <w:highlight w:val="none"/>
          <w:lang w:val="en-US"/>
        </w:rPr>
      </w:pPr>
      <w:r>
        <w:rPr>
          <w:rFonts w:hint="eastAsia"/>
          <w:highlight w:val="none"/>
          <w:lang w:val="en-US"/>
        </w:rPr>
        <w:t>供应商需为本项目提供完善的售后服务体系，所有供货产品需提供至少6个月的质量保证期。在质保期内，若出现质量问题，供应商需在接到采购人通知后的10个工作日内完成产品更换或修理。</w:t>
      </w:r>
    </w:p>
    <w:p w14:paraId="50ECDDC8">
      <w:pPr>
        <w:pStyle w:val="5"/>
        <w:rPr>
          <w:rFonts w:hint="eastAsia"/>
          <w:highlight w:val="none"/>
          <w:lang w:val="en-US"/>
        </w:rPr>
      </w:pPr>
      <w:r>
        <w:rPr>
          <w:rFonts w:hint="eastAsia"/>
          <w:highlight w:val="none"/>
          <w:lang w:val="en-US"/>
        </w:rPr>
        <w:t>2.交货方式与责任</w:t>
      </w:r>
    </w:p>
    <w:p w14:paraId="50FC3FB7">
      <w:pPr>
        <w:pStyle w:val="5"/>
        <w:rPr>
          <w:rFonts w:hint="eastAsia"/>
          <w:highlight w:val="none"/>
          <w:lang w:val="en-US"/>
        </w:rPr>
      </w:pPr>
      <w:r>
        <w:rPr>
          <w:rFonts w:hint="eastAsia"/>
          <w:highlight w:val="none"/>
          <w:lang w:val="en-US"/>
        </w:rPr>
        <w:t>供应商需负责所有货物的运输及相关费用，所有产品必须按时、按质送达采购人指定地点。供应商需承担因运输或包装不当造成的任何损坏或丢失风险。</w:t>
      </w:r>
    </w:p>
    <w:p w14:paraId="1F58F5FA">
      <w:pPr>
        <w:pStyle w:val="5"/>
        <w:rPr>
          <w:highlight w:val="none"/>
          <w:lang w:val="en-US"/>
        </w:rPr>
      </w:pPr>
      <w:r>
        <w:rPr>
          <w:rFonts w:hint="eastAsia"/>
          <w:highlight w:val="none"/>
          <w:lang w:val="en-US"/>
        </w:rPr>
        <w:t>供应商需根据采购人的具体需求，按批次进行供货，并在采购人提出交货需求后14个工作日内将产品送到采购人指定地点。</w:t>
      </w:r>
    </w:p>
    <w:p w14:paraId="1148338E">
      <w:pPr>
        <w:pStyle w:val="5"/>
        <w:rPr>
          <w:rFonts w:hint="eastAsia"/>
          <w:highlight w:val="none"/>
          <w:lang w:val="en-US"/>
        </w:rPr>
      </w:pPr>
      <w:r>
        <w:rPr>
          <w:rFonts w:hint="eastAsia"/>
          <w:highlight w:val="none"/>
          <w:lang w:val="en-US"/>
        </w:rPr>
        <w:t>供应商需提供详细的交货清单，包括产品名称、规格、数量、生产日期、有效期及批号等信息，以便采购人核对和验收。</w:t>
      </w:r>
    </w:p>
    <w:p w14:paraId="63C48E10">
      <w:pPr>
        <w:pStyle w:val="5"/>
        <w:rPr>
          <w:rFonts w:hint="eastAsia"/>
          <w:highlight w:val="none"/>
          <w:lang w:val="en-US"/>
        </w:rPr>
      </w:pPr>
      <w:r>
        <w:rPr>
          <w:rFonts w:hint="eastAsia"/>
          <w:highlight w:val="none"/>
          <w:lang w:val="en-US"/>
        </w:rPr>
        <w:t>3.合规性与法律责任</w:t>
      </w:r>
    </w:p>
    <w:p w14:paraId="65B7E203">
      <w:pPr>
        <w:pStyle w:val="5"/>
        <w:rPr>
          <w:rFonts w:hint="eastAsia"/>
          <w:highlight w:val="none"/>
          <w:lang w:val="en-US"/>
        </w:rPr>
      </w:pPr>
      <w:r>
        <w:rPr>
          <w:rFonts w:hint="eastAsia"/>
          <w:highlight w:val="none"/>
          <w:lang w:val="en-US"/>
        </w:rPr>
        <w:t>供应商需确保所提供的产品和服务符合国家和地方的法律法规要求，所有产品必须经过合法注册或备案，并符合相关安全标准。</w:t>
      </w:r>
    </w:p>
    <w:p w14:paraId="75C8FDDE">
      <w:pPr>
        <w:pStyle w:val="5"/>
        <w:rPr>
          <w:highlight w:val="none"/>
          <w:lang w:val="en-US"/>
        </w:rPr>
      </w:pPr>
      <w:r>
        <w:rPr>
          <w:rFonts w:hint="eastAsia"/>
          <w:highlight w:val="none"/>
          <w:lang w:val="en-US"/>
        </w:rPr>
        <w:t>供应商在项目执行过程中若违反任何法律规定或合同条款，需承担相应的法律责任，并赔偿由此给采购人造成的损失。</w:t>
      </w:r>
    </w:p>
    <w:p w14:paraId="310B7880">
      <w:pPr>
        <w:pStyle w:val="5"/>
        <w:rPr>
          <w:rFonts w:hint="eastAsia"/>
          <w:highlight w:val="none"/>
          <w:lang w:val="en-US"/>
        </w:rPr>
      </w:pPr>
      <w:r>
        <w:rPr>
          <w:rFonts w:hint="eastAsia"/>
          <w:highlight w:val="none"/>
          <w:lang w:val="en-US"/>
        </w:rPr>
        <w:t>4.未经采购人同意，</w:t>
      </w:r>
      <w:r>
        <w:rPr>
          <w:rFonts w:hint="eastAsia"/>
          <w:highlight w:val="none"/>
          <w:lang w:val="en-US" w:eastAsia="zh-CN"/>
        </w:rPr>
        <w:t>成交</w:t>
      </w:r>
      <w:r>
        <w:rPr>
          <w:rFonts w:hint="eastAsia"/>
          <w:highlight w:val="none"/>
          <w:lang w:val="en-US"/>
        </w:rPr>
        <w:t>人不得转让合同、转包或分包。如涉及非关键性特殊情况，可与采购人协商视情况而定。</w:t>
      </w:r>
    </w:p>
    <w:p w14:paraId="38AD192B">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1C6DD3"/>
    <w:rsid w:val="2F1C6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
    <w:name w:val="首行缩进"/>
    <w:basedOn w:val="1"/>
    <w:qFormat/>
    <w:uiPriority w:val="0"/>
    <w:pPr>
      <w:spacing w:line="360" w:lineRule="auto"/>
      <w:ind w:firstLine="480" w:firstLineChars="200"/>
    </w:pPr>
    <w:rPr>
      <w:szCs w:val="22"/>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2025-12-05T07:31:00Z</dcterms:created>
  <dc:creator>宋可口ya！</dc:creator>
  <cp:lastModifiedBy>宋可口ya！</cp:lastModifiedBy>
  <dcterms:modified xsi:type="dcterms:W3CDTF">2025-12-05T07:31:19Z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6F60E0657FD14C55A42FE31A68A24C69_11</vt:lpwstr>
  </property>
  <property fmtid="{D5CDD505-2E9C-101B-9397-08002B2CF9AE}" pid="4" name="KSOTemplateDocerSaveRecord">
    <vt:lpwstr>eyJoZGlkIjoiYWI1YTQ5ZTJjMWFjNTgxNzkyMzNhYmFlNGJmNmRkNmUiLCJ1c2VySWQiOiIyODg5MTc3NTMifQ==</vt:lpwstr>
  </property>
</Properties>
</file>