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C3D6"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项目背景</w:t>
      </w:r>
    </w:p>
    <w:p w14:paraId="10D0F7FF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Calibri" w:hAnsi="Calibri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2026年春节将至，为深入贯彻工会关爱职工的宗旨，切实增强职工的归属感与幸福感，营造温馨和谐的节日氛围，按照《天津市基层工会经费收支管理办法》及《关于对&lt;天津市基层工会经费收支 管理办法&gt;有关内容进行调整的通知》要求，拟为全体工会会员发放春节慰问品。</w:t>
      </w:r>
    </w:p>
    <w:p w14:paraId="4CE5B18D">
      <w:pPr>
        <w:numPr>
          <w:ilvl w:val="0"/>
          <w:numId w:val="0"/>
        </w:numPr>
        <w:snapToGrid w:val="0"/>
        <w:spacing w:line="360" w:lineRule="auto"/>
        <w:ind w:firstLine="482" w:firstLineChars="200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（二）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项目预算</w:t>
      </w:r>
    </w:p>
    <w:p w14:paraId="072E0410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950人*800元/人=760000元（按照采购发放当月会员数，据实结算）</w:t>
      </w:r>
    </w:p>
    <w:p w14:paraId="18B9F545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优惠可以增加实物，不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得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降低标准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3C8A650">
      <w:pPr>
        <w:numPr>
          <w:ilvl w:val="0"/>
          <w:numId w:val="0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项目需求</w:t>
      </w:r>
    </w:p>
    <w:p w14:paraId="5948E568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牛肉和羊肉不少于10kg.</w:t>
      </w:r>
    </w:p>
    <w:p w14:paraId="1CD38878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1.牛肉：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包括但不限于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腱子肉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牛排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等</w:t>
      </w:r>
    </w:p>
    <w:p w14:paraId="149DA5F1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2.羊肉：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包括但不限于羊排、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后腿肉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等。</w:t>
      </w:r>
    </w:p>
    <w:p w14:paraId="786FBD69">
      <w:pPr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3.依据《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天津市财政局关于做好2025年政府采购脱贫地区农副产品工作的通知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》（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津财采〔2025〕1号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的要求，供应商所提供的牛肉、羊肉应优先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采购脱贫地区农副产品。</w:t>
      </w:r>
    </w:p>
    <w:p w14:paraId="6AB0D55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4.每个供应商须提供3个方案。</w:t>
      </w:r>
    </w:p>
    <w:p w14:paraId="3FFCAA23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2" w:firstLineChars="200"/>
        <w:jc w:val="left"/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（四）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交货要求</w:t>
      </w:r>
    </w:p>
    <w:p w14:paraId="1E29E48F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auto"/>
        <w:ind w:left="0" w:leftChars="0" w:right="137" w:firstLine="786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1.自签订合同之日起</w:t>
      </w:r>
      <w:r>
        <w:rPr>
          <w:rFonts w:hint="eastAsia" w:ascii="宋体" w:hAnsi="宋体" w:eastAsia="宋体" w:cs="宋体"/>
          <w:spacing w:val="11"/>
          <w:sz w:val="24"/>
          <w:szCs w:val="24"/>
          <w:highlight w:val="none"/>
        </w:rPr>
        <w:t>3日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内完成备货，按照采购人指定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时间送货</w:t>
      </w:r>
      <w:r>
        <w:rPr>
          <w:rFonts w:hint="eastAsia" w:ascii="宋体" w:hAnsi="宋体" w:eastAsia="宋体" w:cs="宋体"/>
          <w:spacing w:val="23"/>
          <w:sz w:val="24"/>
          <w:szCs w:val="24"/>
        </w:rPr>
        <w:t>到指定地点(特殊情况以合同为准)。</w:t>
      </w:r>
    </w:p>
    <w:p w14:paraId="7484F62A">
      <w:pPr>
        <w:pStyle w:val="2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left="59" w:right="144"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2.供应商负责运输并将产品搬运至交货地点指定位置，并配合工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会发放慰问品到科室。</w:t>
      </w:r>
    </w:p>
    <w:p w14:paraId="7C80395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left="59" w:right="147"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3.供应商根据采购人实际需求数量进行供货，具体数量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以实际发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生为准。</w:t>
      </w:r>
    </w:p>
    <w:p w14:paraId="2A84D5B3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left="59" w:right="127" w:firstLine="560"/>
        <w:rPr>
          <w:rFonts w:hint="default" w:ascii="宋体" w:hAnsi="宋体" w:eastAsia="宋体" w:cs="宋体"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4.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供应商为每份商品提供冷藏保温措施。</w:t>
      </w:r>
    </w:p>
    <w:p w14:paraId="4A102468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left="59" w:right="127" w:firstLine="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特别要求：交货时采购人有权要求成交供应商对产品的合法供货渠道进行说明，经核实如成交供应商提供非法渠道的商品，视为欺诈，为维护采购人合法权益，成交供应商要承担商品价值双倍的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赔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偿，同时，依据现行的国家法律法规追究其他责任，并连带追究响应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产品制造商的责任。</w:t>
      </w:r>
    </w:p>
    <w:p w14:paraId="1DCDBB8E">
      <w:pPr>
        <w:numPr>
          <w:ilvl w:val="0"/>
          <w:numId w:val="0"/>
        </w:numPr>
        <w:adjustRightInd w:val="0"/>
        <w:snapToGrid w:val="0"/>
        <w:spacing w:line="360" w:lineRule="auto"/>
        <w:ind w:firstLine="482" w:firstLineChars="200"/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（五）服务要求</w:t>
      </w:r>
    </w:p>
    <w:p w14:paraId="09F1E4B1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19" w:leftChars="0" w:firstLine="571" w:firstLineChars="238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供应商在配送时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配送食材第三方检测报告及生产厂家营业执照及生产许可证，鲜肉类配送时须提供动物检验检疫票、分销票、合格证等市场监管部门要求的必备票据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7D1A514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19" w:right="0" w:rightChars="0" w:firstLine="571" w:firstLineChars="238"/>
        <w:jc w:val="both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所供肉类等产品必须提供质量检疫证明，达到食品安全要求，做好24小时实物留样，所配送的所有生鲜类必须保证新鲜，否则要无偿更换。</w:t>
      </w:r>
    </w:p>
    <w:p w14:paraId="65BE99A0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3.供应商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须具有安全、稳定、高效的配送车辆，配送车辆和器具须符合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《中华人民共和国食品安全法》等相关制度要求，只能使用封闭的厢式冷藏货车，冷藏车的温度需达到《GB 31605-2020食品安全国家标准 食品冷链物流卫生标准》，并接受采购人抽查。配送车辆每次出车前应清洁车内外卫生。提供相应承诺函并加盖公章。</w:t>
      </w:r>
    </w:p>
    <w:p w14:paraId="0AFD4406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360" w:lineRule="auto"/>
        <w:ind w:left="0" w:right="0" w:rightChars="0" w:firstLine="500" w:firstLineChars="200"/>
        <w:jc w:val="both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5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未经采购人同意，不得分包，禁止转包，否则，成交供应商承担相应的法律责任。</w:t>
      </w:r>
    </w:p>
    <w:p w14:paraId="36BC73D3">
      <w:pPr>
        <w:pStyle w:val="6"/>
        <w:rPr>
          <w:rFonts w:hint="default"/>
          <w:lang w:val="en-US" w:eastAsia="zh-CN"/>
        </w:rPr>
      </w:pPr>
    </w:p>
    <w:p w14:paraId="67C8E9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72BE6"/>
    <w:multiLevelType w:val="singleLevel"/>
    <w:tmpl w:val="EF172B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43221"/>
    <w:rsid w:val="35B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1440"/>
    </w:pPr>
    <w:rPr>
      <w:rFonts w:hint="eastAsia" w:ascii="Arial Unicode MS" w:hAnsi="Arial Unicode MS" w:eastAsia="Arial Unicode MS" w:cs="Arial Unicode MS"/>
      <w:color w:val="000000"/>
      <w:sz w:val="32"/>
      <w:szCs w:val="32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2026-01-07T00:20:00Z</dcterms:created>
  <dc:creator>柳絮飞</dc:creator>
  <cp:lastModifiedBy>柳絮飞</cp:lastModifiedBy>
  <dcterms:modified xsi:type="dcterms:W3CDTF">2026-01-07T00:21:04Z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BD5BF51BD6854B5BA8EA29033B2AE896_11</vt:lpwstr>
  </property>
  <property fmtid="{D5CDD505-2E9C-101B-9397-08002B2CF9AE}" pid="4" name="KSOTemplateDocerSaveRecord">
    <vt:lpwstr>eyJoZGlkIjoiOWE1NmUwMmVjNjU2YzcwMDFmMzY3NzA5Mjc3MGE3YTQiLCJ1c2VySWQiOiIzMTIwNTAyMzUifQ==</vt:lpwstr>
  </property>
</Properties>
</file>