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2EBDB">
      <w:pPr>
        <w:jc w:val="center"/>
        <w:rPr>
          <w:rFonts w:ascii="宋体" w:hAnsi="宋体" w:cs="宋体"/>
          <w:b/>
          <w:bCs/>
          <w:sz w:val="28"/>
          <w:szCs w:val="28"/>
        </w:rPr>
      </w:pPr>
      <w:bookmarkStart w:id="0" w:name="_Toc31520"/>
      <w:r>
        <w:rPr>
          <w:rFonts w:hint="eastAsia" w:ascii="宋体" w:hAnsi="宋体" w:cs="宋体"/>
          <w:b/>
          <w:bCs/>
          <w:sz w:val="28"/>
          <w:szCs w:val="28"/>
        </w:rPr>
        <w:t>项目需求书</w:t>
      </w:r>
      <w:bookmarkEnd w:id="0"/>
    </w:p>
    <w:tbl>
      <w:tblPr>
        <w:tblStyle w:val="2"/>
        <w:tblW w:w="9318"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1560"/>
        <w:gridCol w:w="2424"/>
        <w:gridCol w:w="2276"/>
      </w:tblGrid>
      <w:tr w14:paraId="0199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058" w:type="dxa"/>
          </w:tcPr>
          <w:p w14:paraId="3AC66B56">
            <w:pPr>
              <w:rPr>
                <w:rFonts w:ascii="宋体" w:hAnsi="宋体" w:cs="宋体"/>
                <w:color w:val="000000"/>
                <w:sz w:val="24"/>
                <w:szCs w:val="24"/>
              </w:rPr>
            </w:pPr>
            <w:r>
              <w:rPr>
                <w:rFonts w:hint="eastAsia" w:ascii="宋体" w:hAnsi="宋体" w:cs="宋体"/>
                <w:color w:val="000000"/>
                <w:sz w:val="24"/>
                <w:szCs w:val="24"/>
              </w:rPr>
              <w:t>拟购置医疗设备名称</w:t>
            </w:r>
          </w:p>
        </w:tc>
        <w:tc>
          <w:tcPr>
            <w:tcW w:w="6260" w:type="dxa"/>
            <w:gridSpan w:val="3"/>
          </w:tcPr>
          <w:p w14:paraId="400CA9A1">
            <w:pPr>
              <w:rPr>
                <w:rFonts w:ascii="宋体" w:hAnsi="宋体" w:cs="宋体"/>
                <w:color w:val="000000"/>
                <w:sz w:val="24"/>
                <w:szCs w:val="24"/>
              </w:rPr>
            </w:pPr>
            <w:bookmarkStart w:id="1" w:name="_GoBack"/>
            <w:r>
              <w:rPr>
                <w:rFonts w:hint="eastAsia" w:ascii="宋体" w:hAnsi="宋体" w:cs="宋体"/>
                <w:color w:val="000000"/>
                <w:sz w:val="24"/>
                <w:szCs w:val="24"/>
              </w:rPr>
              <w:t>全自动免疫生化流水线、血细胞分析仪</w:t>
            </w:r>
            <w:bookmarkEnd w:id="1"/>
          </w:p>
        </w:tc>
      </w:tr>
      <w:tr w14:paraId="256A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058" w:type="dxa"/>
          </w:tcPr>
          <w:p w14:paraId="783B887D">
            <w:pPr>
              <w:rPr>
                <w:rFonts w:ascii="宋体" w:hAnsi="宋体" w:cs="宋体"/>
                <w:color w:val="000000"/>
                <w:sz w:val="24"/>
                <w:szCs w:val="24"/>
              </w:rPr>
            </w:pPr>
            <w:r>
              <w:rPr>
                <w:rFonts w:hint="eastAsia" w:ascii="宋体" w:hAnsi="宋体" w:cs="宋体"/>
                <w:color w:val="000000"/>
                <w:sz w:val="24"/>
                <w:szCs w:val="24"/>
              </w:rPr>
              <w:t>数量（台/套）</w:t>
            </w:r>
          </w:p>
        </w:tc>
        <w:tc>
          <w:tcPr>
            <w:tcW w:w="1560" w:type="dxa"/>
          </w:tcPr>
          <w:p w14:paraId="67C43E1A">
            <w:pPr>
              <w:rPr>
                <w:rFonts w:ascii="宋体" w:hAnsi="宋体" w:cs="宋体"/>
                <w:color w:val="000000"/>
                <w:sz w:val="24"/>
                <w:szCs w:val="24"/>
              </w:rPr>
            </w:pPr>
            <w:r>
              <w:rPr>
                <w:rFonts w:ascii="宋体" w:hAnsi="宋体" w:cs="宋体"/>
                <w:color w:val="000000"/>
                <w:sz w:val="24"/>
                <w:szCs w:val="24"/>
              </w:rPr>
              <w:t>1</w:t>
            </w:r>
          </w:p>
        </w:tc>
        <w:tc>
          <w:tcPr>
            <w:tcW w:w="2424" w:type="dxa"/>
          </w:tcPr>
          <w:p w14:paraId="5C751E67">
            <w:pPr>
              <w:jc w:val="center"/>
              <w:rPr>
                <w:rFonts w:ascii="宋体" w:hAnsi="宋体" w:cs="宋体"/>
                <w:color w:val="000000"/>
                <w:sz w:val="24"/>
                <w:szCs w:val="24"/>
              </w:rPr>
            </w:pPr>
            <w:r>
              <w:rPr>
                <w:rFonts w:hint="eastAsia" w:ascii="宋体" w:hAnsi="宋体" w:cs="宋体"/>
                <w:color w:val="000000"/>
                <w:sz w:val="24"/>
                <w:szCs w:val="24"/>
              </w:rPr>
              <w:t>产地</w:t>
            </w:r>
          </w:p>
        </w:tc>
        <w:tc>
          <w:tcPr>
            <w:tcW w:w="2276" w:type="dxa"/>
          </w:tcPr>
          <w:p w14:paraId="18F31D90">
            <w:pPr>
              <w:rPr>
                <w:rFonts w:ascii="宋体" w:hAnsi="宋体" w:cs="宋体"/>
                <w:color w:val="000000"/>
                <w:sz w:val="24"/>
                <w:szCs w:val="24"/>
              </w:rPr>
            </w:pPr>
            <w:r>
              <w:rPr>
                <w:rFonts w:hint="eastAsia" w:ascii="宋体" w:hAnsi="宋体" w:cs="宋体"/>
                <w:color w:val="000000"/>
                <w:sz w:val="24"/>
                <w:szCs w:val="24"/>
              </w:rPr>
              <w:sym w:font="Wingdings" w:char="00FE"/>
            </w:r>
            <w:r>
              <w:rPr>
                <w:rFonts w:hint="eastAsia" w:ascii="宋体" w:hAnsi="宋体" w:cs="宋体"/>
                <w:color w:val="000000"/>
                <w:sz w:val="24"/>
                <w:szCs w:val="24"/>
              </w:rPr>
              <w:t xml:space="preserve">国产  </w:t>
            </w:r>
            <w:r>
              <w:rPr>
                <w:rFonts w:hint="eastAsia" w:ascii="宋体" w:hAnsi="宋体" w:cs="宋体"/>
                <w:color w:val="000000"/>
                <w:sz w:val="24"/>
                <w:szCs w:val="24"/>
              </w:rPr>
              <w:sym w:font="Wingdings" w:char="00A8"/>
            </w:r>
            <w:r>
              <w:rPr>
                <w:rFonts w:hint="eastAsia" w:ascii="宋体" w:hAnsi="宋体" w:cs="宋体"/>
                <w:color w:val="000000"/>
                <w:sz w:val="24"/>
                <w:szCs w:val="24"/>
              </w:rPr>
              <w:t xml:space="preserve">进口 </w:t>
            </w:r>
          </w:p>
        </w:tc>
      </w:tr>
      <w:tr w14:paraId="5DCE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tcPr>
          <w:p w14:paraId="0C1CAAAC">
            <w:pPr>
              <w:rPr>
                <w:rFonts w:ascii="宋体" w:hAnsi="宋体" w:cs="宋体"/>
                <w:color w:val="000000"/>
                <w:sz w:val="24"/>
                <w:szCs w:val="24"/>
              </w:rPr>
            </w:pPr>
            <w:r>
              <w:rPr>
                <w:rFonts w:hint="eastAsia" w:ascii="宋体" w:hAnsi="宋体" w:cs="宋体"/>
                <w:color w:val="000000"/>
                <w:sz w:val="24"/>
                <w:szCs w:val="24"/>
              </w:rPr>
              <w:t>预算单价（万元）</w:t>
            </w:r>
          </w:p>
        </w:tc>
        <w:tc>
          <w:tcPr>
            <w:tcW w:w="1560" w:type="dxa"/>
          </w:tcPr>
          <w:p w14:paraId="244F6A8F">
            <w:pPr>
              <w:rPr>
                <w:rFonts w:ascii="宋体" w:hAnsi="宋体" w:cs="宋体"/>
                <w:color w:val="000000"/>
                <w:sz w:val="24"/>
                <w:szCs w:val="24"/>
              </w:rPr>
            </w:pPr>
            <w:r>
              <w:rPr>
                <w:rFonts w:ascii="宋体" w:hAnsi="宋体" w:cs="宋体"/>
                <w:color w:val="000000"/>
                <w:sz w:val="24"/>
                <w:szCs w:val="24"/>
              </w:rPr>
              <w:t>45</w:t>
            </w:r>
          </w:p>
        </w:tc>
        <w:tc>
          <w:tcPr>
            <w:tcW w:w="2424" w:type="dxa"/>
          </w:tcPr>
          <w:p w14:paraId="3A75DE3B">
            <w:pPr>
              <w:rPr>
                <w:rFonts w:ascii="宋体" w:hAnsi="宋体" w:cs="宋体"/>
                <w:color w:val="000000"/>
                <w:sz w:val="24"/>
                <w:szCs w:val="24"/>
              </w:rPr>
            </w:pPr>
            <w:r>
              <w:rPr>
                <w:rFonts w:hint="eastAsia" w:ascii="宋体" w:hAnsi="宋体" w:cs="宋体"/>
                <w:color w:val="000000"/>
                <w:sz w:val="24"/>
                <w:szCs w:val="24"/>
              </w:rPr>
              <w:t>预算总价（万元）</w:t>
            </w:r>
          </w:p>
        </w:tc>
        <w:tc>
          <w:tcPr>
            <w:tcW w:w="2276" w:type="dxa"/>
          </w:tcPr>
          <w:p w14:paraId="585DEA6C">
            <w:pPr>
              <w:rPr>
                <w:rFonts w:ascii="宋体" w:hAnsi="宋体" w:cs="宋体"/>
                <w:color w:val="000000"/>
                <w:sz w:val="24"/>
                <w:szCs w:val="24"/>
              </w:rPr>
            </w:pPr>
            <w:r>
              <w:rPr>
                <w:rFonts w:ascii="宋体" w:hAnsi="宋体" w:cs="宋体"/>
                <w:color w:val="000000"/>
                <w:sz w:val="24"/>
                <w:szCs w:val="24"/>
              </w:rPr>
              <w:t>45</w:t>
            </w:r>
          </w:p>
        </w:tc>
      </w:tr>
      <w:tr w14:paraId="4E8A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9318" w:type="dxa"/>
            <w:gridSpan w:val="4"/>
          </w:tcPr>
          <w:p w14:paraId="3CD9D30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该项目应包含全自动生化分析仪1台、免疫分析仪1台，血细胞分析仪2台</w:t>
            </w:r>
          </w:p>
          <w:p w14:paraId="44DA84D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一、样本处理模块基本参数</w:t>
            </w:r>
          </w:p>
          <w:p w14:paraId="1598D65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1.样本容量：单机可同时上机≥300 个样本，样本缓冲能力和样本输出≥250 个样本；</w:t>
            </w:r>
          </w:p>
          <w:p w14:paraId="5467619B">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2.去盖模块：去盖速度≥500管/小时，废盖紫外线消毒；</w:t>
            </w:r>
          </w:p>
          <w:p w14:paraId="47BCD58C">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3.处理速度：最大上载与下载速度≥1000样本/小时；</w:t>
            </w:r>
          </w:p>
          <w:p w14:paraId="65F0A3E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4.样本图片、拍照自动保存，可对结果审核提供参考。</w:t>
            </w:r>
          </w:p>
          <w:p w14:paraId="54EA98A8">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二、生化模块基本参数</w:t>
            </w:r>
          </w:p>
          <w:p w14:paraId="1035CEA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★1.测试速度：单模块测试速度≥2000T/H，单模块ISE速度≥600T/H；</w:t>
            </w:r>
          </w:p>
          <w:p w14:paraId="0C62984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▲2.配备≥140 个试剂位；机内全自动超声波清洗，清洗系统采用≥9 阶清洗方式；</w:t>
            </w:r>
          </w:p>
          <w:p w14:paraId="56BD69B0">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3.样本加样：最小加样量≤1.5μl， 0.1μl步进；</w:t>
            </w:r>
          </w:p>
          <w:p w14:paraId="6FB9C673">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★4.具备反应盘恒温装置：非水浴，无需添加抑菌剂、日常免维护保养；</w:t>
            </w:r>
          </w:p>
          <w:p w14:paraId="637F649B">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5.配备≥400 个反应杯，反应杯为硬质石英玻璃杯可永久使用；</w:t>
            </w:r>
          </w:p>
          <w:p w14:paraId="2BD6D488">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6.光学系统采用光栅后分光设计，具备≥16 个波长，波长范围覆盖 340-850nm；</w:t>
            </w:r>
          </w:p>
          <w:p w14:paraId="033907DF">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7.光源寿命≥2400小时；</w:t>
            </w:r>
          </w:p>
          <w:p w14:paraId="6F2CE70C">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▲8.需在2024年《全国室间质量评价》中具有单独分组、参与全国室间质量评价实验室数量≥400家的项目≥10个（提供生产厂家盖章证明材料）；</w:t>
            </w:r>
          </w:p>
          <w:p w14:paraId="79585834">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9.拓展功能：支持与同品牌全自动化学发光免疫分析仪或同型号全自动生化分析仪联机。</w:t>
            </w:r>
          </w:p>
          <w:p w14:paraId="442EFBE7">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三、化学发光免疫模块基本参数</w:t>
            </w:r>
          </w:p>
          <w:p w14:paraId="7E0AD310">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★1.测试速度：最大测试速度≥500T/H；</w:t>
            </w:r>
          </w:p>
          <w:p w14:paraId="1B59AD57">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★2.样本针：钢针加样无需TIP头等耗材，样本针携带污染率≤0.1ppm；</w:t>
            </w:r>
          </w:p>
          <w:p w14:paraId="15A4C71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3.试剂位：≥36个试剂位，2-8℃冷藏，24小时制冷；</w:t>
            </w:r>
          </w:p>
          <w:p w14:paraId="34B54112">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4.反应杯：反应单元为一次性反应杯，一次性加载≥1200个，料斗式散装反应杯进样；</w:t>
            </w:r>
          </w:p>
          <w:p w14:paraId="06395DD2">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5.混匀方式：具备非接触式偏心涡旋混匀、超声混匀两种方式；</w:t>
            </w:r>
          </w:p>
          <w:p w14:paraId="5820BA02">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6.校准质控:采用原厂质控品和校准品，满足溯源性要求，并提供溯源性文件；</w:t>
            </w:r>
          </w:p>
          <w:p w14:paraId="7BD671B8">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7.校准、质控品无需分装，支持带条码的校准品和质控品上机直接检测；</w:t>
            </w:r>
          </w:p>
          <w:p w14:paraId="08DE0E82">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8.TSH满足功能灵敏度≤0.02μIU/mL,HIV可进行抗原抗体联合检测；</w:t>
            </w:r>
          </w:p>
          <w:p w14:paraId="6AEBACDF">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▲9.需在2024年《全国室间质量评价》中具有单独分组、参与全国室间质量评价实验室数量≥400家的项目≥10个（提供生产厂家盖章证明材料）。</w:t>
            </w:r>
          </w:p>
          <w:p w14:paraId="4812690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四、全自动血液体液细胞分析仪2台技术参数</w:t>
            </w:r>
          </w:p>
          <w:p w14:paraId="73E2AFE1">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1.单台血液细胞分析仪检测方法及原理：血细胞分析采用半导体激光法、鞘流电阻抗法、荧光染色法和流式细胞技术原理，CRP检测采用胶乳免疫散射比浊法；</w:t>
            </w:r>
          </w:p>
          <w:p w14:paraId="7E5C990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★2.单台设备检测能力：可检测CBC+DIFF+CRP+SAA；</w:t>
            </w:r>
          </w:p>
          <w:p w14:paraId="6555718C">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★3.单台设备检测速度：CBC＋DIFF+CRP ≥100个样本/小时；</w:t>
            </w:r>
          </w:p>
          <w:p w14:paraId="0BCFC52F">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4.进样方式及用血量：静脉血和末梢全血均可自动批量进样或手动进样；末梢全血检测CDR+CRP用血量≤40ul，预稀释模式CDR+CRP+SAA用血量≤20μl；</w:t>
            </w:r>
          </w:p>
          <w:p w14:paraId="380A19B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▲5.末梢全血自动批量检测模式支持以下功能：自动扫码进样、自动混匀、异常标本自动回退复检；自动混匀功能可适配主流末梢全血采血管；</w:t>
            </w:r>
          </w:p>
          <w:p w14:paraId="19DABDC7">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6.末梢全血预稀释模式也能进行白细胞五分类、有核红细胞、网织红细胞和CRP、SAA检测，有急诊插入功能；</w:t>
            </w:r>
          </w:p>
          <w:p w14:paraId="08CA1972">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7.全自动网织红细胞检测，可对网织红进行分型，提供网织红成熟度指数，网织红细胞检测无需机外染色处理；</w:t>
            </w:r>
          </w:p>
          <w:p w14:paraId="153EE5EE">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8.具有检测网织红细胞血红蛋白含量的功能，可判断贫血的类型；</w:t>
            </w:r>
          </w:p>
          <w:p w14:paraId="507292F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9.具有低值血小板检测功能，如遇血小板低值时通过自动增加计数颗粒数量（≥8倍）来保证血小板检测精度；</w:t>
            </w:r>
          </w:p>
          <w:p w14:paraId="5BEB0B48">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11.具有对EDTA依赖性血小板聚集标本的处理能力； </w:t>
            </w:r>
          </w:p>
          <w:p w14:paraId="0AEEAED8">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12.具有低值白细胞检测功能，如遇白细胞低值时自动增加计数颗粒数量来保证检测结果的准确性，无需额消耗试剂；</w:t>
            </w:r>
          </w:p>
          <w:p w14:paraId="306DA135">
            <w:pPr>
              <w:snapToGrid w:val="0"/>
              <w:spacing w:line="360" w:lineRule="auto"/>
              <w:ind w:firstLine="480" w:firstLineChars="200"/>
              <w:rPr>
                <w:rFonts w:ascii="宋体" w:hAnsi="宋体" w:cs="宋体"/>
                <w:color w:val="000000"/>
                <w:sz w:val="24"/>
                <w:szCs w:val="24"/>
              </w:rPr>
            </w:pPr>
            <w:r>
              <w:rPr>
                <w:rFonts w:ascii="宋体" w:hAnsi="宋体" w:cs="宋体"/>
                <w:color w:val="000000"/>
                <w:sz w:val="24"/>
                <w:szCs w:val="24"/>
              </w:rPr>
              <w:t>13.</w:t>
            </w:r>
            <w:r>
              <w:rPr>
                <w:rFonts w:hint="eastAsia" w:ascii="宋体" w:hAnsi="宋体" w:cs="宋体"/>
                <w:color w:val="000000"/>
                <w:sz w:val="24"/>
                <w:szCs w:val="24"/>
              </w:rPr>
              <w:t>血液模式空白计数要求：白细胞≤</w:t>
            </w:r>
            <w:r>
              <w:rPr>
                <w:rFonts w:ascii="宋体" w:hAnsi="宋体" w:cs="宋体"/>
                <w:color w:val="000000"/>
                <w:sz w:val="24"/>
                <w:szCs w:val="24"/>
              </w:rPr>
              <w:t>0.1</w:t>
            </w:r>
            <w:r>
              <w:rPr>
                <w:rFonts w:hint="eastAsia" w:ascii="宋体" w:hAnsi="宋体" w:cs="宋体"/>
                <w:color w:val="000000"/>
                <w:sz w:val="24"/>
                <w:szCs w:val="24"/>
              </w:rPr>
              <w:t>x</w:t>
            </w:r>
            <w:r>
              <w:rPr>
                <w:rFonts w:ascii="宋体" w:hAnsi="宋体" w:cs="宋体"/>
                <w:color w:val="000000"/>
                <w:sz w:val="24"/>
                <w:szCs w:val="24"/>
              </w:rPr>
              <w:t>109/L</w:t>
            </w:r>
            <w:r>
              <w:rPr>
                <w:rFonts w:hint="eastAsia" w:ascii="宋体" w:hAnsi="宋体" w:cs="宋体"/>
                <w:color w:val="000000"/>
                <w:sz w:val="24"/>
                <w:szCs w:val="24"/>
              </w:rPr>
              <w:t>，红细胞≤</w:t>
            </w:r>
            <w:r>
              <w:rPr>
                <w:rFonts w:ascii="宋体" w:hAnsi="宋体" w:cs="宋体"/>
                <w:color w:val="000000"/>
                <w:sz w:val="24"/>
                <w:szCs w:val="24"/>
              </w:rPr>
              <w:t>0.02</w:t>
            </w:r>
            <w:r>
              <w:rPr>
                <w:rFonts w:hint="eastAsia" w:ascii="宋体" w:hAnsi="宋体" w:cs="宋体"/>
                <w:color w:val="000000"/>
                <w:sz w:val="24"/>
                <w:szCs w:val="24"/>
              </w:rPr>
              <w:t>x</w:t>
            </w:r>
            <w:r>
              <w:rPr>
                <w:rFonts w:ascii="宋体" w:hAnsi="宋体" w:cs="宋体"/>
                <w:color w:val="000000"/>
                <w:sz w:val="24"/>
                <w:szCs w:val="24"/>
              </w:rPr>
              <w:t xml:space="preserve"> 1012/L</w:t>
            </w:r>
            <w:r>
              <w:rPr>
                <w:rFonts w:hint="eastAsia" w:ascii="宋体" w:hAnsi="宋体" w:cs="宋体"/>
                <w:color w:val="000000"/>
                <w:sz w:val="24"/>
                <w:szCs w:val="24"/>
              </w:rPr>
              <w:t>，血红蛋白≤</w:t>
            </w:r>
            <w:r>
              <w:rPr>
                <w:rFonts w:ascii="宋体" w:hAnsi="宋体" w:cs="宋体"/>
                <w:color w:val="000000"/>
                <w:sz w:val="24"/>
                <w:szCs w:val="24"/>
              </w:rPr>
              <w:t>1g/L</w:t>
            </w:r>
            <w:r>
              <w:rPr>
                <w:rFonts w:hint="eastAsia" w:ascii="宋体" w:hAnsi="宋体" w:cs="宋体"/>
                <w:color w:val="000000"/>
                <w:sz w:val="24"/>
                <w:szCs w:val="24"/>
              </w:rPr>
              <w:t>，阻抗法血小板≤</w:t>
            </w:r>
            <w:r>
              <w:rPr>
                <w:rFonts w:ascii="宋体" w:hAnsi="宋体" w:cs="宋体"/>
                <w:color w:val="000000"/>
                <w:sz w:val="24"/>
                <w:szCs w:val="24"/>
              </w:rPr>
              <w:t>5</w:t>
            </w:r>
            <w:r>
              <w:rPr>
                <w:rFonts w:hint="eastAsia" w:ascii="宋体" w:hAnsi="宋体" w:cs="宋体"/>
                <w:color w:val="000000"/>
                <w:sz w:val="24"/>
                <w:szCs w:val="24"/>
              </w:rPr>
              <w:t>x</w:t>
            </w:r>
            <w:r>
              <w:rPr>
                <w:rFonts w:ascii="宋体" w:hAnsi="宋体" w:cs="宋体"/>
                <w:color w:val="000000"/>
                <w:sz w:val="24"/>
                <w:szCs w:val="24"/>
              </w:rPr>
              <w:t>109/L</w:t>
            </w:r>
            <w:r>
              <w:rPr>
                <w:rFonts w:hint="eastAsia" w:ascii="宋体" w:hAnsi="宋体" w:cs="宋体"/>
                <w:color w:val="000000"/>
                <w:sz w:val="24"/>
                <w:szCs w:val="24"/>
              </w:rPr>
              <w:t>；</w:t>
            </w:r>
          </w:p>
          <w:p w14:paraId="1A78276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14.单机设备全血CRP检测时可校正红细胞、白细胞、血小板体积的干扰；</w:t>
            </w:r>
          </w:p>
          <w:p w14:paraId="1E28E5C8">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▲15.可根据医院的发展需求升级成血液分析流水线可连同品牌推片机，阅片机；</w:t>
            </w:r>
          </w:p>
          <w:p w14:paraId="223C17A3">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★16.无需外接气源；</w:t>
            </w:r>
          </w:p>
          <w:p w14:paraId="5F0FC336">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▲17.能提供原厂配套的CFDA注册的质控物和校准物，并提供校准物溯源文件。</w:t>
            </w:r>
          </w:p>
          <w:p w14:paraId="7B423CE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注：★条款为实质性条款，不满足将导致投标文件被拒绝</w:t>
            </w:r>
          </w:p>
          <w:p w14:paraId="2DF49E5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▲条款为重要条款，负偏离扣分值为其他普通参数的2倍</w:t>
            </w:r>
          </w:p>
          <w:p w14:paraId="45F191AB">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第二部分商务要求（资质要求、交货时间、售后服务等）：</w:t>
            </w:r>
          </w:p>
          <w:p w14:paraId="5A3F99B4">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一、供应商资质</w:t>
            </w:r>
          </w:p>
          <w:p w14:paraId="69D35E4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参加本项目磋商的供应商应在响应文件中提供以下证明材料：</w:t>
            </w:r>
          </w:p>
          <w:p w14:paraId="761BBCD2">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根据《医疗器械监督管理条例》的规定，若供应商为所响应产品的制造商，须提供其医疗器械生产企业备案证明文件或医疗器械生产企业许可证的扫描件或复印件加盖公章；若供应商非所响应产品（第一类医疗器械除外）的制造商，须提供其医疗器械经营企业备案证明文件或医疗器械经营企业许可证的扫描件或复印件加盖公章。</w:t>
            </w:r>
          </w:p>
          <w:p w14:paraId="2BE4A098">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（二）供应商须具备《中华人民共和国政府采购法》第二十二条规定的条件，提供以下材料：</w:t>
            </w:r>
          </w:p>
          <w:p w14:paraId="178844C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1、营业执照副本或事业单位法人证书或民办非企业单位登记证书或社会团体法人登记证书或基金会法人登记证书扫描件或复印件并加盖公章。</w:t>
            </w:r>
          </w:p>
          <w:p w14:paraId="6C132468">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2、财务状况报告等相关材料：提供2024年度经第三方会计师事务所审计的企业财务报告扫描件（应包括完整的审计报告和财务报表）或提交响应文件截止日期前近3个月内银行出具的资信证明复印件并加盖公章。</w:t>
            </w:r>
          </w:p>
          <w:p w14:paraId="3CFB9ADB">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3、2025年至今至少一个月的依法缴纳税收和社会保险费的相关证明材料扫描件或复印件并加盖公章。</w:t>
            </w:r>
          </w:p>
          <w:p w14:paraId="7B16B2DC">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4、提交响应文件截止日前3年在经营活动中没有重大违法记录的书面声明（提交响应文件截止日前成立不足3年的供应商可提供自成立以来无重大违法记录的书面声明）并加盖公章。</w:t>
            </w:r>
          </w:p>
          <w:p w14:paraId="27A851F2">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三）按照《财政部关于在政府采购活动中查询及使用信用记录有关问题的通知》（财库〔2016〕125号）的要求，采购代理机构于响应文件开启当日响应文件开启时间之前打印的信用中国、中国政府采购网的查询结果信用记录未列入失信被执行人、重大税收违法失信主体、政府采购严重违法失信行为记录名单。</w:t>
            </w:r>
          </w:p>
          <w:p w14:paraId="43813A4E">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四）供应商须由法定代表人或其授权的委托代理人参加磋商。供应商若为法定代表人参加磋商，须提供法定代表人资格证明书及身份证明原件或加盖公章的复印件（如身份证、护照、驾驶证等）；供应商若为被授权的委托代理人参加磋商，须提供法定代表人资格证明书、法人代表授权书（须由法定代表人签字或盖章）和被授权人身份证明原件或加盖公章的复印件（如身份证、护照、驾驶证等）。</w:t>
            </w:r>
          </w:p>
          <w:p w14:paraId="441F13A6">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（五）本项目不接受联合体参加磋商，供应商须提供《非联合体磋商声明函》并加盖公章。</w:t>
            </w:r>
          </w:p>
          <w:p w14:paraId="41E1F8D6">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二．交货要求</w:t>
            </w:r>
          </w:p>
          <w:p w14:paraId="0F0DF69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1.交货时间：合同签订之日起十五个工作日内安装调试完毕（具体情况以合同为准）</w:t>
            </w:r>
          </w:p>
          <w:p w14:paraId="7130E314">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2.交货地点：天津市滨海新区中医医院</w:t>
            </w:r>
          </w:p>
          <w:p w14:paraId="4446EEDF">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特别要求：除主体设备外，还须包括生产厂家的完整的随机资料，包括完整的使用和维修手册、配套的辅助设备、技术资料（包括操作手册、使用指南、维修指南或服务手册等）、设备使用所必需的备品备件，负责运输、安装并提供相应的技术服务与质量保证。</w:t>
            </w:r>
          </w:p>
          <w:p w14:paraId="5B1EBD72">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三、服务要求</w:t>
            </w:r>
          </w:p>
          <w:p w14:paraId="50417AD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1.保修期：整机保修≥5年(自货物经采购方验收合格之日起计算保修期),保修期内出现质量问题由供应商免费上门保修，且免费更换全部零配件，并承担修理、调换或退货以及由此给采购方造成损失的实际费用。</w:t>
            </w:r>
          </w:p>
          <w:p w14:paraId="43D5C88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2.依据产品说明书，保修期内供应商对所供货物提供免费维护与保养。</w:t>
            </w:r>
          </w:p>
          <w:p w14:paraId="6A367ED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3.货物在保修期内更换整机的，从双方确认更换完成日期开始，保修期重新计算。</w:t>
            </w:r>
          </w:p>
          <w:p w14:paraId="743B19B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4.在产品说明书或标签中标明的使用期限内，供应商免费对货物的软件进行更新、维护、升级。</w:t>
            </w:r>
          </w:p>
          <w:p w14:paraId="499099C8">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在产品说明书或标签中标明的产品使用期限内，因货物质量问题，造成事故，供应商除负责修复、调换本合同货物外，还应承担受损人员及财产的赔偿责任，包括但不限于造成采购方数据丢失、损坏的，还应承担恢复数据、信息等费用损失。</w:t>
            </w:r>
          </w:p>
          <w:p w14:paraId="724E3653">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6.在产品说明书或标签中标明的产品使用期限内，货物因制造粗糙、设计缺陷或原材料缺陷但在上述保修期届满之前的合理检测中未能发现的潜在缺陷，供应商负责免费更换、修复。</w:t>
            </w:r>
          </w:p>
          <w:p w14:paraId="3A35DDD2">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供应商针对采购方的报修，供应商的服务人员在24小时内上门，并在48小时内予以修复。供应商对于采购方报修后48小时内无法修复的部分：保修期内供应商72小时内免费更换；超过保修期但仍在产品说明书或标签中标明的产品使用期限内的，供应商72小时内更换。若供应商不予配合，采购方有权委托第三方修复或者向第三方采购同等规格的替换产品，由此产生的一切费用均由供应商承担。</w:t>
            </w:r>
          </w:p>
          <w:p w14:paraId="06CB9B70">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8.供应商所提供的货物必须具有合法手续及相关文件。如涉及知识产权，则必须是自己拥有或合法使用，不得侵害任何第三方的合法权益。</w:t>
            </w:r>
          </w:p>
          <w:p w14:paraId="165C6A5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9.供应商应随货物向采购方交付货物的使用说明书及货物相关的资料。如果所提交文件是外文的，供应商有义务为采购方提供中文或译成中文文件。</w:t>
            </w:r>
          </w:p>
          <w:p w14:paraId="551A19E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10.货物在途及安装调试过程中的风险及责任全部由供应商自行承担，包括但不限于货物在途时或安装调试过程中发生毁损、灭失，以及给采购方或其工作人员、供应商或其工作人员、第三方造成人身伤亡或财产损失等。</w:t>
            </w:r>
          </w:p>
          <w:p w14:paraId="7D1C86E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11.未经采购人同意，成交供应商不得转让合同、转包或分包。</w:t>
            </w:r>
          </w:p>
          <w:p w14:paraId="5BA31228">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12.所响应产品涉及商品包装或快递包装的，按照《财政部办公厅、生态环境部办公厅、国家邮政局办公室关于印发&lt;商品包装政府采购需求标准（试行）&gt;、&lt;快递包装政府采购需求标准（试行）&gt;的通知》（财办库〔2020〕123号）要求执行。</w:t>
            </w:r>
          </w:p>
          <w:p w14:paraId="3C6CCF94">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13.供应商须整包进行磋商，不得拆包分项响应。 </w:t>
            </w:r>
          </w:p>
          <w:p w14:paraId="7BDDB186">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4</w:t>
            </w:r>
            <w:r>
              <w:rPr>
                <w:rFonts w:hint="eastAsia" w:ascii="宋体" w:hAnsi="宋体" w:cs="宋体"/>
                <w:color w:val="000000"/>
                <w:sz w:val="24"/>
                <w:szCs w:val="24"/>
              </w:rPr>
              <w:t>.根据《医疗器械监督管理条例》的规定，供应商所投产品如属于第一类医疗器械，须提供医疗器械备案证明文件复印件并加盖公章，供应商所投产品如属于第二类或第三类医疗器械，须具备食品药品监督管理局颁发的在有效期内的中华人民共和国医疗器械注册证，提供证书复印件并加盖公章。（本条款为★条款，不符合将导致投标文件被拒绝）</w:t>
            </w:r>
          </w:p>
          <w:p w14:paraId="006B529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5</w:t>
            </w:r>
            <w:r>
              <w:rPr>
                <w:rFonts w:hint="eastAsia" w:ascii="宋体" w:hAnsi="宋体" w:cs="宋体"/>
                <w:color w:val="000000"/>
                <w:sz w:val="24"/>
                <w:szCs w:val="24"/>
              </w:rPr>
              <w:t>.供应商投标需提供完整的试剂清单及报价，试剂单人份价格/该试剂对应的单人份收费项目价格应≤28%；如所报试剂有网采价格，则试剂供货价格始终不得高于网采最低价格（需提供承诺函）（本条款为★条款，不符合将导致投标文件被拒绝）</w:t>
            </w:r>
          </w:p>
          <w:p w14:paraId="1B2B1CEB">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第三部分：付款方式</w:t>
            </w:r>
          </w:p>
          <w:p w14:paraId="19DD72A3">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供应商在合同签订三日内向采购方缴纳合同标的额的10%作为履约保证金，待保修期届满后，由采购方在保修期届满30日内全额(无息)退还给供应商，但历次因违约扣除的履约保证金不予退还。在保修期内，供应商一旦发生需扣除履约保证金的情形，供应商应在收到采购方扣除履约保证金通知之日起30日内向采购方补足履约保证金。</w:t>
            </w:r>
          </w:p>
          <w:p w14:paraId="0BC0DBF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2.货物送到指定地点、完成安装调试、经院方验收合格，院方已收到足额履约保证金，且院方收到中标供应商提供的等额合规发票后全额付款。</w:t>
            </w:r>
          </w:p>
          <w:p w14:paraId="367945D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第四部分：是否有配套耗材：  </w:t>
            </w:r>
            <w:r>
              <w:rPr>
                <w:rFonts w:hint="eastAsia" w:ascii="仿宋" w:hAnsi="仿宋" w:eastAsia="仿宋" w:cs="仿宋"/>
                <w:color w:val="000000"/>
                <w:sz w:val="28"/>
                <w:szCs w:val="28"/>
              </w:rPr>
              <w:sym w:font="Wingdings" w:char="00FE"/>
            </w:r>
            <w:r>
              <w:rPr>
                <w:rFonts w:hint="eastAsia" w:ascii="仿宋" w:hAnsi="仿宋" w:eastAsia="仿宋" w:cs="仿宋"/>
                <w:color w:val="000000"/>
                <w:sz w:val="28"/>
                <w:szCs w:val="28"/>
              </w:rPr>
              <w:t xml:space="preserve">有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无</w:t>
            </w:r>
          </w:p>
          <w:p w14:paraId="5CA9E2E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生化模块试剂 免疫模块试剂 血细胞分析仪试剂</w:t>
            </w:r>
          </w:p>
          <w:p w14:paraId="66515C3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第五部分：其他要求</w:t>
            </w:r>
          </w:p>
          <w:p w14:paraId="5CEE033C">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rPr>
              <w:tab/>
            </w:r>
            <w:r>
              <w:rPr>
                <w:rFonts w:hint="eastAsia" w:ascii="宋体" w:hAnsi="宋体" w:cs="宋体"/>
                <w:color w:val="000000"/>
                <w:sz w:val="24"/>
                <w:szCs w:val="24"/>
              </w:rPr>
              <w:t>配套提供水处理系统1套：要求出水量≥100L/小时、电阻率≥18MΩ·cm、电导率≤0.06μS/cm、供水压力可调范围0.1-0.3兆帕、具备自动控制系统、符合国家规定实验室用水标准（需提供检测报告）</w:t>
            </w:r>
          </w:p>
          <w:p w14:paraId="137BCE8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rPr>
              <w:tab/>
            </w:r>
            <w:r>
              <w:rPr>
                <w:rFonts w:hint="eastAsia" w:ascii="宋体" w:hAnsi="宋体" w:cs="宋体"/>
                <w:color w:val="000000"/>
                <w:sz w:val="24"/>
                <w:szCs w:val="24"/>
              </w:rPr>
              <w:t>配备稳定电压装置各1套</w:t>
            </w:r>
          </w:p>
          <w:p w14:paraId="50656E00">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rPr>
              <w:tab/>
            </w:r>
            <w:r>
              <w:rPr>
                <w:rFonts w:hint="eastAsia" w:ascii="宋体" w:hAnsi="宋体" w:cs="宋体"/>
                <w:color w:val="000000"/>
                <w:sz w:val="24"/>
                <w:szCs w:val="24"/>
              </w:rPr>
              <w:t>承担每台设备的LIS接口费用</w:t>
            </w:r>
          </w:p>
          <w:p w14:paraId="62A07E7E">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4.配备中文报告的输出终端和相应的配套硬件</w:t>
            </w:r>
          </w:p>
        </w:tc>
      </w:tr>
    </w:tbl>
    <w:p w14:paraId="656E91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A4DAE"/>
    <w:rsid w:val="645A4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2026-02-14T05:39:00Z</dcterms:created>
  <dc:creator>柳絮飞</dc:creator>
  <cp:lastModifiedBy>柳絮飞</cp:lastModifiedBy>
  <dcterms:modified xsi:type="dcterms:W3CDTF">2026-02-14T05:40:16Z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748514184F5342E7B5D736DDE56035CD_11</vt:lpwstr>
  </property>
  <property fmtid="{D5CDD505-2E9C-101B-9397-08002B2CF9AE}" pid="4" name="KSOTemplateDocerSaveRecord">
    <vt:lpwstr>eyJoZGlkIjoiOWE1NmUwMmVjNjU2YzcwMDFmMzY3NzA5Mjc3MGE3YTQiLCJ1c2VySWQiOiIzMTIwNTAyMzUifQ==</vt:lpwstr>
  </property>
</Properties>
</file>