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667BD3">
      <w:pPr>
        <w:tabs>
          <w:tab w:val="left" w:pos="210"/>
        </w:tabs>
        <w:autoSpaceDE w:val="0"/>
        <w:autoSpaceDN w:val="0"/>
        <w:adjustRightInd w:val="0"/>
        <w:snapToGrid w:val="0"/>
        <w:spacing w:line="360" w:lineRule="auto"/>
        <w:rPr>
          <w:rFonts w:hint="eastAsia" w:ascii="宋体" w:hAnsi="宋体" w:cs="宋体"/>
          <w:b/>
          <w:bCs/>
          <w:color w:val="auto"/>
          <w:kern w:val="0"/>
          <w:sz w:val="24"/>
          <w:highlight w:val="none"/>
        </w:rPr>
      </w:pPr>
      <w:r>
        <w:rPr>
          <w:rFonts w:hint="eastAsia" w:ascii="宋体" w:hAnsi="宋体" w:cs="宋体"/>
          <w:color w:val="auto"/>
          <w:sz w:val="24"/>
          <w:highlight w:val="none"/>
        </w:rPr>
        <w:t>项目需求书</w:t>
      </w:r>
    </w:p>
    <w:p w14:paraId="6E443BBE">
      <w:pPr>
        <w:pStyle w:val="8"/>
        <w:spacing w:after="0"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本项目采购标的所属行业为“</w:t>
      </w:r>
      <w:r>
        <w:rPr>
          <w:rFonts w:hint="eastAsia" w:ascii="宋体" w:hAnsi="宋体" w:cs="宋体"/>
          <w:b/>
          <w:bCs/>
          <w:color w:val="auto"/>
          <w:sz w:val="24"/>
          <w:szCs w:val="24"/>
          <w:highlight w:val="none"/>
          <w:lang w:eastAsia="zh-CN"/>
        </w:rPr>
        <w:t>软件和信息技术服务业</w:t>
      </w:r>
      <w:r>
        <w:rPr>
          <w:rFonts w:hint="eastAsia" w:ascii="宋体" w:hAnsi="宋体" w:cs="宋体"/>
          <w:b/>
          <w:bCs/>
          <w:color w:val="auto"/>
          <w:sz w:val="24"/>
          <w:szCs w:val="24"/>
          <w:highlight w:val="none"/>
        </w:rPr>
        <w:t>”。</w:t>
      </w:r>
    </w:p>
    <w:p w14:paraId="2ED723D6">
      <w:pPr>
        <w:pStyle w:val="8"/>
        <w:spacing w:after="0" w:line="360" w:lineRule="auto"/>
        <w:ind w:firstLine="482" w:firstLineChars="200"/>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rPr>
        <w:t>（一）项目</w:t>
      </w:r>
      <w:r>
        <w:rPr>
          <w:rFonts w:hint="eastAsia" w:ascii="宋体" w:hAnsi="宋体" w:cs="宋体"/>
          <w:b/>
          <w:bCs/>
          <w:color w:val="auto"/>
          <w:sz w:val="24"/>
          <w:szCs w:val="24"/>
          <w:highlight w:val="none"/>
          <w:lang w:eastAsia="zh-CN"/>
        </w:rPr>
        <w:t>概况</w:t>
      </w:r>
    </w:p>
    <w:p w14:paraId="157EA86B">
      <w:pPr>
        <w:tabs>
          <w:tab w:val="left" w:pos="210"/>
        </w:tabs>
        <w:autoSpaceDE w:val="0"/>
        <w:autoSpaceDN w:val="0"/>
        <w:adjustRightInd w:val="0"/>
        <w:snapToGrid w:val="0"/>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国家、省、市“十四五”卫生健康事业发展规划以及天津市“十四五”国民经济和社会发展规划、国家卫生健康委和国家中医药局联合印发的《改善就医感受 提升患者体验主题活动方案（2023-2025年）》《关于加强公立医院运营管理的指导意见》《健康天津行动计划（2020—2030年）和专项行动方案（2020—2022年）》《天津市智慧医院能力提升三年行动计划（2024—2026 年）》及《天津市滨海新区公立医院改革和高质量发展示范项目实施方案》等文件要求，以建立健全现代医院管理制度为目标，面向公立医院高质量发展构建新体系、引领新趋势、提升新效能、激活新动力及建设新文化。强化信息化支撑作用，推进新一代信息技术与医疗服务的深度融合，加快推动二级及以上医疗机构信息化整体水平提升，促进我市智慧医疗、智慧服务、智慧管理“三位一体”智慧医院建设，支撑保障医疗健康信息互联共享。</w:t>
      </w:r>
    </w:p>
    <w:p w14:paraId="3235F7D2">
      <w:pPr>
        <w:tabs>
          <w:tab w:val="left" w:pos="210"/>
        </w:tabs>
        <w:autoSpaceDE w:val="0"/>
        <w:autoSpaceDN w:val="0"/>
        <w:adjustRightInd w:val="0"/>
        <w:snapToGrid w:val="0"/>
        <w:spacing w:line="360" w:lineRule="auto"/>
        <w:ind w:firstLine="480" w:firstLineChars="200"/>
        <w:rPr>
          <w:rFonts w:hint="eastAsia"/>
          <w:lang w:eastAsia="zh-CN"/>
        </w:rPr>
      </w:pPr>
      <w:r>
        <w:rPr>
          <w:rFonts w:hint="eastAsia" w:ascii="宋体" w:hAnsi="宋体" w:eastAsia="宋体" w:cs="宋体"/>
          <w:color w:val="auto"/>
          <w:kern w:val="0"/>
          <w:sz w:val="24"/>
          <w:highlight w:val="none"/>
          <w:lang w:eastAsia="zh-CN"/>
        </w:rPr>
        <w:t>为了落实《天津市智慧医院能力提升三年行动计划（2024-2026年）》，在医院的不断发展过程中，对信息化建设提出了更高更明确的要求。现院内部分信息系统底层架构的局限性日益凸显，操作便捷性与系统功能性也亟待提升，在一定程度上制约了医院的整体发展。需要对医院医技相关系统进行全面升级或扩展，以此保障业务稳定运行和考核管理相关要求，满足院内互联互通成熟度测评四级要求。具体需求清单如下：</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957"/>
        <w:gridCol w:w="5727"/>
        <w:gridCol w:w="725"/>
      </w:tblGrid>
      <w:tr w14:paraId="0E4C0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73" w:type="pct"/>
            <w:noWrap/>
            <w:vAlign w:val="center"/>
          </w:tcPr>
          <w:p w14:paraId="4AF1790B">
            <w:pPr>
              <w:pageBreakBefore w:val="0"/>
              <w:wordWrap/>
              <w:overflowPunct/>
              <w:topLinePunct w:val="0"/>
              <w:bidi w:val="0"/>
              <w:snapToGrid w:val="0"/>
              <w:spacing w:line="360" w:lineRule="auto"/>
              <w:jc w:val="center"/>
              <w:rPr>
                <w:rFonts w:hint="eastAsia" w:ascii="宋体" w:hAnsi="宋体" w:eastAsia="宋体" w:cs="Times New Roman"/>
                <w:b/>
                <w:bCs/>
              </w:rPr>
            </w:pPr>
            <w:r>
              <w:rPr>
                <w:rFonts w:ascii="宋体" w:hAnsi="宋体" w:eastAsia="宋体" w:cs="Times New Roman"/>
                <w:b/>
                <w:bCs/>
              </w:rPr>
              <w:t>序号</w:t>
            </w:r>
          </w:p>
        </w:tc>
        <w:tc>
          <w:tcPr>
            <w:tcW w:w="1053" w:type="pct"/>
            <w:noWrap/>
            <w:vAlign w:val="center"/>
          </w:tcPr>
          <w:p w14:paraId="4EA4F421">
            <w:pPr>
              <w:pageBreakBefore w:val="0"/>
              <w:wordWrap/>
              <w:overflowPunct/>
              <w:topLinePunct w:val="0"/>
              <w:bidi w:val="0"/>
              <w:snapToGrid w:val="0"/>
              <w:spacing w:line="360" w:lineRule="auto"/>
              <w:jc w:val="center"/>
              <w:rPr>
                <w:rFonts w:hint="default" w:ascii="宋体" w:hAnsi="宋体" w:eastAsia="宋体" w:cs="Times New Roman"/>
                <w:b/>
                <w:bCs/>
                <w:lang w:val="en-US" w:eastAsia="zh-CN"/>
              </w:rPr>
            </w:pPr>
            <w:r>
              <w:rPr>
                <w:rFonts w:hint="eastAsia" w:ascii="宋体" w:hAnsi="宋体" w:eastAsia="宋体" w:cs="Times New Roman"/>
                <w:b/>
                <w:bCs/>
                <w:lang w:val="en-US" w:eastAsia="zh-CN"/>
              </w:rPr>
              <w:t>项目名称</w:t>
            </w:r>
          </w:p>
        </w:tc>
        <w:tc>
          <w:tcPr>
            <w:tcW w:w="3082" w:type="pct"/>
            <w:noWrap w:val="0"/>
            <w:vAlign w:val="center"/>
          </w:tcPr>
          <w:p w14:paraId="460AB63F">
            <w:pPr>
              <w:pageBreakBefore w:val="0"/>
              <w:wordWrap/>
              <w:overflowPunct/>
              <w:topLinePunct w:val="0"/>
              <w:bidi w:val="0"/>
              <w:snapToGrid w:val="0"/>
              <w:spacing w:line="360" w:lineRule="auto"/>
              <w:jc w:val="center"/>
              <w:rPr>
                <w:rFonts w:hint="eastAsia" w:ascii="宋体" w:hAnsi="宋体" w:eastAsia="宋体" w:cs="Times New Roman"/>
                <w:b/>
                <w:bCs/>
              </w:rPr>
            </w:pPr>
            <w:r>
              <w:rPr>
                <w:rFonts w:hint="eastAsia" w:ascii="宋体" w:hAnsi="宋体" w:eastAsia="宋体" w:cs="宋体"/>
                <w:b/>
                <w:bCs/>
              </w:rPr>
              <w:t>需求说明</w:t>
            </w:r>
          </w:p>
        </w:tc>
        <w:tc>
          <w:tcPr>
            <w:tcW w:w="390" w:type="pct"/>
            <w:noWrap/>
            <w:vAlign w:val="center"/>
          </w:tcPr>
          <w:p w14:paraId="1CC28DDB">
            <w:pPr>
              <w:pageBreakBefore w:val="0"/>
              <w:wordWrap/>
              <w:overflowPunct/>
              <w:topLinePunct w:val="0"/>
              <w:bidi w:val="0"/>
              <w:snapToGrid w:val="0"/>
              <w:spacing w:line="360" w:lineRule="auto"/>
              <w:jc w:val="center"/>
              <w:rPr>
                <w:rFonts w:hint="eastAsia" w:ascii="宋体" w:hAnsi="宋体" w:eastAsia="宋体" w:cs="Times New Roman"/>
                <w:b/>
                <w:bCs/>
              </w:rPr>
            </w:pPr>
            <w:r>
              <w:rPr>
                <w:rFonts w:ascii="宋体" w:hAnsi="宋体" w:eastAsia="宋体" w:cs="Times New Roman"/>
                <w:b/>
                <w:bCs/>
              </w:rPr>
              <w:t>数量</w:t>
            </w:r>
          </w:p>
        </w:tc>
      </w:tr>
      <w:tr w14:paraId="33A66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3" w:type="pct"/>
            <w:noWrap/>
            <w:vAlign w:val="center"/>
          </w:tcPr>
          <w:p w14:paraId="0141F9A5">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w:t>
            </w:r>
          </w:p>
        </w:tc>
        <w:tc>
          <w:tcPr>
            <w:tcW w:w="1053" w:type="pct"/>
            <w:noWrap w:val="0"/>
            <w:vAlign w:val="center"/>
          </w:tcPr>
          <w:p w14:paraId="45F2D8B9">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实验室管理</w:t>
            </w:r>
          </w:p>
          <w:p w14:paraId="53B55F29">
            <w:pPr>
              <w:pageBreakBefore w:val="0"/>
              <w:wordWrap/>
              <w:overflowPunct/>
              <w:topLinePunct w:val="0"/>
              <w:bidi w:val="0"/>
              <w:snapToGrid w:val="0"/>
              <w:spacing w:line="360" w:lineRule="auto"/>
              <w:jc w:val="center"/>
              <w:rPr>
                <w:rFonts w:hint="eastAsia" w:ascii="宋体" w:hAnsi="宋体" w:eastAsia="宋体" w:cs="Times New Roman"/>
                <w:lang w:eastAsia="zh-CN"/>
              </w:rPr>
            </w:pPr>
            <w:r>
              <w:rPr>
                <w:rFonts w:ascii="宋体" w:hAnsi="宋体" w:eastAsia="宋体" w:cs="Times New Roman"/>
              </w:rPr>
              <w:t>系统</w:t>
            </w:r>
            <w:r>
              <w:rPr>
                <w:rFonts w:hint="eastAsia" w:eastAsia="宋体"/>
                <w:lang w:eastAsia="zh-CN"/>
              </w:rPr>
              <w:t>（</w:t>
            </w:r>
            <w:r>
              <w:rPr>
                <w:rFonts w:hint="eastAsia" w:eastAsia="宋体"/>
                <w:lang w:val="en-US" w:eastAsia="zh-CN"/>
              </w:rPr>
              <w:t>升级改造</w:t>
            </w:r>
            <w:r>
              <w:rPr>
                <w:rFonts w:hint="eastAsia" w:eastAsia="宋体"/>
                <w:lang w:eastAsia="zh-CN"/>
              </w:rPr>
              <w:t>）</w:t>
            </w:r>
          </w:p>
        </w:tc>
        <w:tc>
          <w:tcPr>
            <w:tcW w:w="3082" w:type="pct"/>
            <w:noWrap w:val="0"/>
            <w:vAlign w:val="center"/>
          </w:tcPr>
          <w:p w14:paraId="165E38A7">
            <w:pPr>
              <w:pageBreakBefore w:val="0"/>
              <w:wordWrap/>
              <w:overflowPunct/>
              <w:topLinePunct w:val="0"/>
              <w:bidi w:val="0"/>
              <w:snapToGrid w:val="0"/>
              <w:spacing w:line="360" w:lineRule="auto"/>
              <w:rPr>
                <w:rFonts w:hint="eastAsia" w:ascii="宋体" w:hAnsi="宋体" w:eastAsia="宋体" w:cs="Times New Roman"/>
                <w:lang w:eastAsia="zh-CN"/>
              </w:rPr>
            </w:pPr>
            <w:r>
              <w:rPr>
                <w:rFonts w:hint="eastAsia" w:ascii="宋体" w:hAnsi="宋体" w:eastAsia="宋体" w:cs="宋体"/>
                <w:lang w:val="en-US" w:eastAsia="zh-CN"/>
              </w:rPr>
              <w:t>基于现有LIS系统升级基础架构，完善微生物检测管理、耐药机制管理及微生物质控等，改造报告自动审核流程，升级消息平台，对接抽血排队叫号，扩展科室试剂耗材、人员设备等管理模块。</w:t>
            </w:r>
          </w:p>
        </w:tc>
        <w:tc>
          <w:tcPr>
            <w:tcW w:w="390" w:type="pct"/>
            <w:noWrap w:val="0"/>
            <w:vAlign w:val="center"/>
          </w:tcPr>
          <w:p w14:paraId="69E1C52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r w14:paraId="2557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3" w:type="pct"/>
            <w:noWrap/>
            <w:vAlign w:val="center"/>
          </w:tcPr>
          <w:p w14:paraId="37B53A2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2</w:t>
            </w:r>
          </w:p>
        </w:tc>
        <w:tc>
          <w:tcPr>
            <w:tcW w:w="1053" w:type="pct"/>
            <w:noWrap w:val="0"/>
            <w:vAlign w:val="center"/>
          </w:tcPr>
          <w:p w14:paraId="3768DE1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互联互通数据改造</w:t>
            </w:r>
          </w:p>
        </w:tc>
        <w:tc>
          <w:tcPr>
            <w:tcW w:w="3082" w:type="pct"/>
            <w:noWrap w:val="0"/>
            <w:vAlign w:val="center"/>
          </w:tcPr>
          <w:p w14:paraId="45F12EB4">
            <w:pPr>
              <w:pageBreakBefore w:val="0"/>
              <w:wordWrap/>
              <w:overflowPunct/>
              <w:topLinePunct w:val="0"/>
              <w:bidi w:val="0"/>
              <w:snapToGrid w:val="0"/>
              <w:spacing w:line="360" w:lineRule="auto"/>
              <w:rPr>
                <w:rFonts w:hint="eastAsia" w:ascii="宋体" w:hAnsi="宋体" w:eastAsia="宋体" w:cs="Times New Roman"/>
                <w:lang w:eastAsia="zh-CN"/>
              </w:rPr>
            </w:pPr>
            <w:r>
              <w:rPr>
                <w:rFonts w:hint="eastAsia" w:ascii="宋体" w:hAnsi="宋体" w:eastAsia="宋体" w:cs="宋体"/>
                <w:lang w:eastAsia="zh-CN"/>
              </w:rPr>
              <w:t>按照互联互通成熟度测评标准要求，基于院内平台扩建数据集模型，利用现有数据标准化工具，结合已建数据中心的链路，提供多维数据治理，实现数据标准化处理和数据资源整合。</w:t>
            </w:r>
          </w:p>
        </w:tc>
        <w:tc>
          <w:tcPr>
            <w:tcW w:w="390" w:type="pct"/>
            <w:noWrap w:val="0"/>
            <w:vAlign w:val="center"/>
          </w:tcPr>
          <w:p w14:paraId="130F716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r w14:paraId="2D40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3" w:type="pct"/>
            <w:noWrap/>
            <w:vAlign w:val="center"/>
          </w:tcPr>
          <w:p w14:paraId="59FA185B">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3</w:t>
            </w:r>
          </w:p>
        </w:tc>
        <w:tc>
          <w:tcPr>
            <w:tcW w:w="1053" w:type="pct"/>
            <w:noWrap w:val="0"/>
            <w:vAlign w:val="center"/>
          </w:tcPr>
          <w:p w14:paraId="33F30DEC">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危急值管理</w:t>
            </w:r>
          </w:p>
          <w:p w14:paraId="41744950">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平台升级</w:t>
            </w:r>
          </w:p>
        </w:tc>
        <w:tc>
          <w:tcPr>
            <w:tcW w:w="3082" w:type="pct"/>
            <w:noWrap w:val="0"/>
            <w:vAlign w:val="center"/>
          </w:tcPr>
          <w:p w14:paraId="4F90E6B0">
            <w:pPr>
              <w:pageBreakBefore w:val="0"/>
              <w:wordWrap/>
              <w:overflowPunct/>
              <w:topLinePunct w:val="0"/>
              <w:bidi w:val="0"/>
              <w:snapToGrid w:val="0"/>
              <w:spacing w:line="360" w:lineRule="auto"/>
              <w:rPr>
                <w:rFonts w:hint="eastAsia" w:ascii="宋体" w:hAnsi="宋体" w:eastAsia="宋体" w:cs="Times New Roman"/>
                <w:lang w:eastAsia="zh-CN"/>
              </w:rPr>
            </w:pPr>
            <w:r>
              <w:rPr>
                <w:rFonts w:hint="eastAsia" w:ascii="宋体" w:hAnsi="宋体" w:eastAsia="宋体" w:cs="宋体"/>
                <w:lang w:eastAsia="zh-CN"/>
              </w:rPr>
              <w:t>改造现有医技系统危急值与临床对接方式，实现危急值消息预警、提醒、处理、反馈等全流程。</w:t>
            </w:r>
          </w:p>
        </w:tc>
        <w:tc>
          <w:tcPr>
            <w:tcW w:w="390" w:type="pct"/>
            <w:noWrap w:val="0"/>
            <w:vAlign w:val="center"/>
          </w:tcPr>
          <w:p w14:paraId="0164E0E1">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r w14:paraId="04210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473" w:type="pct"/>
            <w:noWrap/>
            <w:vAlign w:val="center"/>
          </w:tcPr>
          <w:p w14:paraId="710A5666">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4</w:t>
            </w:r>
          </w:p>
        </w:tc>
        <w:tc>
          <w:tcPr>
            <w:tcW w:w="1053" w:type="pct"/>
            <w:noWrap w:val="0"/>
            <w:vAlign w:val="center"/>
          </w:tcPr>
          <w:p w14:paraId="3D9DE61C">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输血管理系统</w:t>
            </w:r>
            <w:r>
              <w:rPr>
                <w:rFonts w:hint="eastAsia" w:ascii="宋体" w:hAnsi="宋体" w:eastAsia="宋体" w:cs="Times New Roman"/>
                <w:lang w:eastAsia="zh-CN"/>
              </w:rPr>
              <w:t>（</w:t>
            </w:r>
            <w:r>
              <w:rPr>
                <w:rFonts w:hint="eastAsia" w:ascii="宋体" w:hAnsi="宋体" w:eastAsia="宋体" w:cs="Times New Roman"/>
                <w:lang w:val="en-US" w:eastAsia="zh-CN"/>
              </w:rPr>
              <w:t>升级改造</w:t>
            </w:r>
            <w:r>
              <w:rPr>
                <w:rFonts w:hint="eastAsia" w:ascii="宋体" w:hAnsi="宋体" w:eastAsia="宋体" w:cs="Times New Roman"/>
                <w:lang w:eastAsia="zh-CN"/>
              </w:rPr>
              <w:t>）</w:t>
            </w:r>
          </w:p>
        </w:tc>
        <w:tc>
          <w:tcPr>
            <w:tcW w:w="3082" w:type="pct"/>
            <w:noWrap w:val="0"/>
            <w:vAlign w:val="center"/>
          </w:tcPr>
          <w:p w14:paraId="7539664D">
            <w:pPr>
              <w:pageBreakBefore w:val="0"/>
              <w:wordWrap/>
              <w:overflowPunct/>
              <w:topLinePunct w:val="0"/>
              <w:bidi w:val="0"/>
              <w:snapToGrid w:val="0"/>
              <w:spacing w:line="360" w:lineRule="auto"/>
              <w:rPr>
                <w:rFonts w:hint="eastAsia" w:ascii="宋体" w:hAnsi="宋体" w:eastAsia="宋体" w:cs="Times New Roman"/>
                <w:lang w:eastAsia="zh-CN"/>
              </w:rPr>
            </w:pPr>
            <w:r>
              <w:rPr>
                <w:rFonts w:hint="eastAsia" w:ascii="宋体" w:hAnsi="宋体" w:eastAsia="宋体" w:cs="宋体"/>
                <w:lang w:eastAsia="zh-CN"/>
              </w:rPr>
              <w:t>基于现有临床输血管理系统升级基础架构，改造业务流程覆盖全院输血场景，与临床、医技、危急值等系统对接，实现输血申请到输血结束的全程规范化管理和信息资源共享。</w:t>
            </w:r>
          </w:p>
        </w:tc>
        <w:tc>
          <w:tcPr>
            <w:tcW w:w="390" w:type="pct"/>
            <w:noWrap w:val="0"/>
            <w:vAlign w:val="center"/>
          </w:tcPr>
          <w:p w14:paraId="3EB3FF7D">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r w14:paraId="1316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473" w:type="pct"/>
            <w:noWrap/>
            <w:vAlign w:val="center"/>
          </w:tcPr>
          <w:p w14:paraId="1A9116F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5</w:t>
            </w:r>
          </w:p>
        </w:tc>
        <w:tc>
          <w:tcPr>
            <w:tcW w:w="1053" w:type="pct"/>
            <w:noWrap w:val="0"/>
            <w:vAlign w:val="center"/>
          </w:tcPr>
          <w:p w14:paraId="38E5C6EC">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门诊首页管理系统</w:t>
            </w:r>
            <w:r>
              <w:rPr>
                <w:rFonts w:hint="eastAsia" w:ascii="宋体" w:hAnsi="宋体" w:eastAsia="宋体" w:cs="Times New Roman"/>
                <w:lang w:eastAsia="zh-CN"/>
              </w:rPr>
              <w:t>（</w:t>
            </w:r>
            <w:r>
              <w:rPr>
                <w:rFonts w:hint="eastAsia" w:ascii="宋体" w:hAnsi="宋体" w:eastAsia="宋体" w:cs="Times New Roman"/>
                <w:lang w:val="en-US" w:eastAsia="zh-CN"/>
              </w:rPr>
              <w:t>升级改造</w:t>
            </w:r>
            <w:r>
              <w:rPr>
                <w:rFonts w:hint="eastAsia" w:ascii="宋体" w:hAnsi="宋体" w:eastAsia="宋体" w:cs="Times New Roman"/>
                <w:lang w:eastAsia="zh-CN"/>
              </w:rPr>
              <w:t>）</w:t>
            </w:r>
          </w:p>
        </w:tc>
        <w:tc>
          <w:tcPr>
            <w:tcW w:w="3082" w:type="pct"/>
            <w:noWrap w:val="0"/>
            <w:vAlign w:val="center"/>
          </w:tcPr>
          <w:p w14:paraId="645DD012">
            <w:pPr>
              <w:pageBreakBefore w:val="0"/>
              <w:wordWrap/>
              <w:overflowPunct/>
              <w:topLinePunct w:val="0"/>
              <w:bidi w:val="0"/>
              <w:snapToGrid w:val="0"/>
              <w:spacing w:line="360" w:lineRule="auto"/>
              <w:rPr>
                <w:rFonts w:hint="eastAsia" w:ascii="宋体" w:hAnsi="宋体" w:eastAsia="宋体" w:cs="Times New Roman"/>
                <w:lang w:eastAsia="zh-CN"/>
              </w:rPr>
            </w:pPr>
            <w:r>
              <w:rPr>
                <w:rFonts w:hint="eastAsia" w:ascii="宋体" w:hAnsi="宋体" w:eastAsia="宋体" w:cs="宋体"/>
                <w:lang w:eastAsia="zh-CN"/>
              </w:rPr>
              <w:t>在现有门诊电子病历系统中，扩展门诊首页管理模块，按照《门（急）诊诊疗信息页数据采集质量与接口规范》上传至国家医院质量监测系统（HQMS）。</w:t>
            </w:r>
          </w:p>
        </w:tc>
        <w:tc>
          <w:tcPr>
            <w:tcW w:w="390" w:type="pct"/>
            <w:noWrap w:val="0"/>
            <w:vAlign w:val="center"/>
          </w:tcPr>
          <w:p w14:paraId="464D3D3F">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r w14:paraId="256C7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473" w:type="pct"/>
            <w:noWrap/>
            <w:vAlign w:val="center"/>
          </w:tcPr>
          <w:p w14:paraId="304AD146">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6</w:t>
            </w:r>
          </w:p>
        </w:tc>
        <w:tc>
          <w:tcPr>
            <w:tcW w:w="1053" w:type="pct"/>
            <w:noWrap w:val="0"/>
            <w:vAlign w:val="center"/>
          </w:tcPr>
          <w:p w14:paraId="7B14325C">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国家传染病上传</w:t>
            </w:r>
            <w:r>
              <w:rPr>
                <w:rFonts w:hint="eastAsia" w:ascii="宋体" w:hAnsi="宋体" w:eastAsia="宋体" w:cs="Times New Roman"/>
                <w:lang w:eastAsia="zh-CN"/>
              </w:rPr>
              <w:t>（</w:t>
            </w:r>
            <w:r>
              <w:rPr>
                <w:rFonts w:hint="eastAsia" w:ascii="宋体" w:hAnsi="宋体" w:eastAsia="宋体" w:cs="Times New Roman"/>
                <w:lang w:val="en-US" w:eastAsia="zh-CN"/>
              </w:rPr>
              <w:t>升级改造</w:t>
            </w:r>
            <w:r>
              <w:rPr>
                <w:rFonts w:hint="eastAsia" w:ascii="宋体" w:hAnsi="宋体" w:eastAsia="宋体" w:cs="Times New Roman"/>
                <w:lang w:eastAsia="zh-CN"/>
              </w:rPr>
              <w:t>）</w:t>
            </w:r>
          </w:p>
        </w:tc>
        <w:tc>
          <w:tcPr>
            <w:tcW w:w="3082" w:type="pct"/>
            <w:noWrap w:val="0"/>
            <w:vAlign w:val="center"/>
          </w:tcPr>
          <w:p w14:paraId="1E94A549">
            <w:pPr>
              <w:keepNext w:val="0"/>
              <w:keepLines w:val="0"/>
              <w:widowControl/>
              <w:suppressLineNumbers w:val="0"/>
              <w:jc w:val="left"/>
              <w:rPr>
                <w:rFonts w:hint="eastAsia" w:ascii="宋体" w:hAnsi="宋体" w:eastAsia="宋体" w:cs="Times New Roman"/>
                <w:lang w:eastAsia="zh-CN"/>
              </w:rPr>
            </w:pPr>
            <w:r>
              <w:rPr>
                <w:rFonts w:hint="eastAsia" w:ascii="宋体" w:hAnsi="宋体" w:eastAsia="宋体" w:cs="宋体"/>
                <w:lang w:val="en-US" w:eastAsia="zh-CN"/>
              </w:rPr>
              <w:t>基于现有HIS系统，建立与国家传染病前置软件的数据同步与交互应用，实现传染病相关信息的及时上报。</w:t>
            </w:r>
          </w:p>
        </w:tc>
        <w:tc>
          <w:tcPr>
            <w:tcW w:w="390" w:type="pct"/>
            <w:noWrap w:val="0"/>
            <w:vAlign w:val="center"/>
          </w:tcPr>
          <w:p w14:paraId="18AE2BF8">
            <w:pPr>
              <w:pageBreakBefore w:val="0"/>
              <w:wordWrap/>
              <w:overflowPunct/>
              <w:topLinePunct w:val="0"/>
              <w:bidi w:val="0"/>
              <w:snapToGrid w:val="0"/>
              <w:spacing w:line="360" w:lineRule="auto"/>
              <w:jc w:val="center"/>
              <w:rPr>
                <w:rFonts w:hint="eastAsia" w:ascii="宋体" w:hAnsi="宋体" w:eastAsia="宋体" w:cs="Times New Roman"/>
              </w:rPr>
            </w:pPr>
            <w:r>
              <w:rPr>
                <w:rFonts w:ascii="宋体" w:hAnsi="宋体" w:eastAsia="宋体" w:cs="Times New Roman"/>
              </w:rPr>
              <w:t>1套</w:t>
            </w:r>
          </w:p>
        </w:tc>
      </w:tr>
    </w:tbl>
    <w:p w14:paraId="718F6220">
      <w:pPr>
        <w:widowControl/>
        <w:numPr>
          <w:ilvl w:val="0"/>
          <w:numId w:val="1"/>
        </w:numPr>
        <w:adjustRightInd w:val="0"/>
        <w:snapToGrid w:val="0"/>
        <w:spacing w:before="156" w:beforeLines="50" w:after="156" w:afterLines="50" w:line="240" w:lineRule="auto"/>
        <w:ind w:firstLine="482" w:firstLineChars="200"/>
        <w:jc w:val="left"/>
        <w:rPr>
          <w:rFonts w:hint="eastAsia"/>
          <w:lang w:eastAsia="zh-CN"/>
        </w:rPr>
      </w:pPr>
      <w:r>
        <w:rPr>
          <w:rFonts w:hint="eastAsia" w:ascii="宋体" w:hAnsi="宋体" w:cs="宋体"/>
          <w:b/>
          <w:color w:val="auto"/>
          <w:sz w:val="24"/>
          <w:highlight w:val="none"/>
          <w:lang w:eastAsia="zh-CN"/>
        </w:rPr>
        <w:t>总体要求</w:t>
      </w:r>
    </w:p>
    <w:p w14:paraId="67BEDC2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根据项目情况，结合医院现状，提供项目理解分析方案，要求详细合理、清晰完整，方案内容包括但不限于建设背景、信息化现状理解、互联互通测评差距、在问题的描述。</w:t>
      </w:r>
    </w:p>
    <w:p w14:paraId="14ED00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软件的设计研发必须严格执行软件工程的标准（ISO），投标人具备全国认证认可信息公共服务平台上可查询的ISO资质（须包含但不限于：质量管理体系认证、职业健康安全管理体系认证、信息技术服务管理标准体系认证、信息安全管理体系认证），确保项目质量管理和质量保证能力符合相关标准，在面对各类突发事件时可以保证业务的连续性，产品成熟稳定（具备CSMM软件能力成熟度评估认证四级及以上）且具有标准化、制度化、规范化的自主知识产权管理体系。要求系统运行稳定可靠，考虑系统在平时和峰值情况下，需具备安全可靠运行的软件，软件要求365×24小时不间断运行。</w:t>
      </w:r>
    </w:p>
    <w:p w14:paraId="385C7AE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①要求投标人具备（1）医院信息平台；（2）临床用血信息管理软件；（3）实验室信息管理软件；（4）互联互通传输标准管理软件的计算机软件著作权登记证书（软件名称必须具备上述关键字，且著作权需在招标公告之日前取得）。 </w:t>
      </w:r>
    </w:p>
    <w:p w14:paraId="3ED2A90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②要求投标人具有较强的信息技术服务能力与信息系统服务交付能力，具备行业内的资质认证（信息系统服务交付能力CCID等级证书），能够更好的推动本项目，实现持续优化，为项目提供标准化的项目服务。 </w:t>
      </w:r>
    </w:p>
    <w:p w14:paraId="0D1B7A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③要求投标人具有较强的运维服务能力，具备行业内的资质认证（ITSS信息技术服务标准符合性证书【业务领域：运行维护】二级及以上），能够更好的实现持续优化，为项目提供标准化的运行维护服务。投标人应有良好的服务理念和完善的售后服务体系，应能够提供及时、足够的本地化技术服务，针对本项目，提出完整而切实可行的售后服务方案。 </w:t>
      </w:r>
    </w:p>
    <w:p w14:paraId="1848DE0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④投标人提供但不限于近三年（2022年1月1日至今）的国家级互联互通标准化成熟度测评达到四级及以上的相关项目业绩。 </w:t>
      </w:r>
    </w:p>
    <w:p w14:paraId="1DC469D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投标人需承诺所投系统必须完全符合招标文件中所述的所有功能和技术要求，在系统交付使用前，采购人有权进行全面测试，以确保系统满足所有要求。未能达到要求的，采购人有权向中标人发出书面违约通知，并给予中标人10个工作日进行整改。若中标人在整改期内未能使系统功能达到采购要求，则视为严重违约，投标人有权解除合同，并要求中标人赔偿医院因此遭受的所有直接和间接损失，包括但不限于重新招标的成本、系统停用期间的损失等。（投标人需对此提供承诺函并加盖公章）</w:t>
      </w:r>
    </w:p>
    <w:p w14:paraId="431C26EA">
      <w:pPr>
        <w:pStyle w:val="8"/>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（三）建设依据</w:t>
      </w:r>
    </w:p>
    <w:p w14:paraId="669C1BA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《国务院办公厅关于建立现代医院管理制度的指导意见》 </w:t>
      </w:r>
    </w:p>
    <w:p w14:paraId="6B52749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《国务院办公厅关于推动公立医院高质量发展的意见》 </w:t>
      </w:r>
    </w:p>
    <w:p w14:paraId="6FA1B9B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《国家卫生健康委、国家中医药管理局关于印发公立医院高质量发展促进行动（2021-2025 年）的通知》 </w:t>
      </w:r>
    </w:p>
    <w:p w14:paraId="7B4E171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《国家卫生健康委关于进一步推进以电子病历为核心的医疗机构信息化建设工作的通知》 </w:t>
      </w:r>
    </w:p>
    <w:p w14:paraId="64C6E2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《国家生健康委办公厅关于印发电子病历系统应用水平分级评价管理 办法（试行）及评价标准（试行）的通知》</w:t>
      </w:r>
    </w:p>
    <w:p w14:paraId="52E999F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《天津市公立医院高质量发展促进行动实施方案》</w:t>
      </w:r>
    </w:p>
    <w:p w14:paraId="79F565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《天津市智慧医院能力提升三年行动计划（2024—2026 年）》</w:t>
      </w:r>
    </w:p>
    <w:p w14:paraId="51FAAC1F">
      <w:pPr>
        <w:keepNext w:val="0"/>
        <w:keepLines w:val="0"/>
        <w:pageBreakBefore w:val="0"/>
        <w:widowControl/>
        <w:numPr>
          <w:ilvl w:val="0"/>
          <w:numId w:val="1"/>
        </w:numPr>
        <w:kinsoku/>
        <w:wordWrap/>
        <w:overflowPunct/>
        <w:topLinePunct w:val="0"/>
        <w:autoSpaceDE/>
        <w:autoSpaceDN/>
        <w:bidi w:val="0"/>
        <w:adjustRightInd w:val="0"/>
        <w:snapToGrid w:val="0"/>
        <w:spacing w:before="156" w:beforeLines="50" w:after="156" w:afterLines="50" w:line="240" w:lineRule="auto"/>
        <w:ind w:left="0" w:leftChars="0" w:firstLine="482" w:firstLineChars="200"/>
        <w:jc w:val="left"/>
        <w:textAlignment w:val="auto"/>
        <w:rPr>
          <w:rFonts w:hint="eastAsia" w:ascii="宋体" w:hAnsi="宋体" w:cs="宋体"/>
          <w:b/>
          <w:color w:val="auto"/>
          <w:sz w:val="24"/>
          <w:highlight w:val="none"/>
          <w:lang w:eastAsia="zh-CN"/>
        </w:rPr>
      </w:pPr>
      <w:r>
        <w:rPr>
          <w:rFonts w:hint="eastAsia" w:ascii="宋体" w:hAnsi="宋体" w:cs="宋体"/>
          <w:b/>
          <w:color w:val="auto"/>
          <w:sz w:val="24"/>
          <w:highlight w:val="none"/>
          <w:lang w:eastAsia="zh-CN"/>
        </w:rPr>
        <w:t>技术要求</w:t>
      </w:r>
    </w:p>
    <w:p w14:paraId="07A3540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0" w:name="_Toc213686201"/>
      <w:r>
        <w:rPr>
          <w:rFonts w:hint="eastAsia" w:ascii="宋体" w:hAnsi="宋体" w:eastAsia="宋体" w:cs="宋体"/>
          <w:color w:val="auto"/>
          <w:kern w:val="2"/>
          <w:sz w:val="24"/>
          <w:szCs w:val="24"/>
          <w:highlight w:val="none"/>
          <w:lang w:val="en-US" w:eastAsia="zh-CN" w:bidi="ar-SA"/>
        </w:rPr>
        <w:t>结合项目，提供的总体技术方案，要求详细合理、清晰完整，方案内容包括但不限于需求分析、架构设计、技术路线等方面。</w:t>
      </w:r>
    </w:p>
    <w:p w14:paraId="66CD959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同时，提供互联互通评审支持服务方案，结合评级标准的解读，助力采购人通过相关评级评审，服务内容包括但不限于对标阶段、改造阶段、申报阶段、迎评阶段的服务内容。</w:t>
      </w:r>
    </w:p>
    <w:p w14:paraId="75E18E2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系统需采用B/S架构的部署模式，需保证科室运行的稳定性和时效性，同时实现快速的部署以及兼容性。 </w:t>
      </w:r>
    </w:p>
    <w:p w14:paraId="7C7AFD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基于标准数据元构建统一数据模型可视化管理，实现“设计即规范、模型即标准”的模型管理。 </w:t>
      </w:r>
    </w:p>
    <w:p w14:paraId="7750E98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通过统一的元数据采集、管理、分析，与数据集成、数据治理、数据应用打通元数据交互，串联平台数据流程，支撑平台数据治理。 </w:t>
      </w:r>
    </w:p>
    <w:p w14:paraId="707F47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通过采集任务监控、数据量核对、指标校验、内涵质量监控的多维质控能力，实现数据异常监控预警和定位，帮助数据管理人员修复数据，提升数据质量。 </w:t>
      </w:r>
    </w:p>
    <w:p w14:paraId="0B87607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提供数据集成任务的创建、配置和管理，以实现不同数据源之间的数据传输和整合。支持数据转换、清洗和映射等操作，确保数据在集成过程中的准确性和一致性。提供数据集成任务的调度和执行，保证数据的按时、按需地进行集成和更新。提供监控和日志管理功能，实时跟踪数据集成任务的执行状态和结果，以及异常和错误的处理。 </w:t>
      </w:r>
    </w:p>
    <w:p w14:paraId="56FEB37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本次项目按照医院信息化建设标准执行，新建业务应用系统需与院内利旧业务系统对接，保证业务场景融合、业务信息互通。</w:t>
      </w:r>
    </w:p>
    <w:p w14:paraId="2A43AA28">
      <w:pPr>
        <w:pStyle w:val="4"/>
        <w:pageBreakBefore w:val="0"/>
        <w:numPr>
          <w:ilvl w:val="0"/>
          <w:numId w:val="0"/>
        </w:numPr>
        <w:kinsoku/>
        <w:wordWrap/>
        <w:overflowPunct/>
        <w:topLinePunct w:val="0"/>
        <w:autoSpaceDE/>
        <w:autoSpaceDN/>
        <w:bidi w:val="0"/>
        <w:adjustRightInd/>
        <w:snapToGrid w:val="0"/>
        <w:spacing w:before="0" w:beforeLines="0" w:beforeAutospacing="0" w:after="0" w:afterLines="0" w:afterAutospacing="0" w:line="360" w:lineRule="auto"/>
        <w:ind w:left="0" w:leftChars="0" w:firstLine="482" w:firstLineChars="200"/>
        <w:jc w:val="both"/>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（四）功能要求</w:t>
      </w:r>
      <w:bookmarkEnd w:id="0"/>
    </w:p>
    <w:p w14:paraId="4CCB6AF2">
      <w:pPr>
        <w:pStyle w:val="5"/>
        <w:pageBreakBefore w:val="0"/>
        <w:numPr>
          <w:ilvl w:val="1"/>
          <w:numId w:val="0"/>
        </w:numPr>
        <w:kinsoku/>
        <w:wordWrap/>
        <w:overflowPunct/>
        <w:topLinePunct w:val="0"/>
        <w:autoSpaceDE/>
        <w:autoSpaceDN/>
        <w:bidi w:val="0"/>
        <w:adjustRightInd/>
        <w:snapToGrid w:val="0"/>
        <w:spacing w:beforeAutospacing="0" w:afterAutospacing="0" w:line="360" w:lineRule="auto"/>
        <w:ind w:left="648" w:leftChars="228" w:hanging="169" w:hangingChars="70"/>
        <w:textAlignment w:val="auto"/>
        <w:rPr>
          <w:rFonts w:hint="eastAsia" w:ascii="宋体" w:hAnsi="宋体" w:eastAsia="宋体" w:cs="宋体"/>
          <w:b/>
          <w:bCs w:val="0"/>
          <w:color w:val="auto"/>
          <w:kern w:val="2"/>
          <w:sz w:val="24"/>
          <w:szCs w:val="24"/>
          <w:lang w:val="en-US" w:eastAsia="zh-CN" w:bidi="ar-SA"/>
        </w:rPr>
      </w:pPr>
      <w:bookmarkStart w:id="1" w:name="_Toc213686202"/>
      <w:r>
        <w:rPr>
          <w:rFonts w:hint="eastAsia" w:ascii="宋体" w:hAnsi="宋体" w:eastAsia="宋体" w:cs="宋体"/>
          <w:b/>
          <w:bCs w:val="0"/>
          <w:color w:val="auto"/>
          <w:kern w:val="2"/>
          <w:sz w:val="24"/>
          <w:szCs w:val="24"/>
          <w:lang w:val="en-US" w:eastAsia="zh-CN" w:bidi="ar-SA"/>
        </w:rPr>
        <w:t>1.1.实验室管理系统</w:t>
      </w:r>
      <w:bookmarkEnd w:id="1"/>
      <w:r>
        <w:rPr>
          <w:rFonts w:hint="eastAsia" w:ascii="宋体" w:hAnsi="宋体" w:eastAsia="宋体" w:cs="宋体"/>
          <w:b/>
          <w:bCs w:val="0"/>
          <w:color w:val="auto"/>
          <w:kern w:val="2"/>
          <w:sz w:val="24"/>
          <w:szCs w:val="24"/>
          <w:lang w:val="en-US" w:eastAsia="zh-CN" w:bidi="ar-SA"/>
        </w:rPr>
        <w:t>（升级改造）</w:t>
      </w:r>
    </w:p>
    <w:p w14:paraId="51DB6D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bookmarkStart w:id="2" w:name="_Toc213686203"/>
      <w:r>
        <w:rPr>
          <w:rFonts w:hint="eastAsia" w:ascii="宋体" w:hAnsi="宋体" w:eastAsia="宋体" w:cs="宋体"/>
          <w:color w:val="auto"/>
          <w:kern w:val="2"/>
          <w:sz w:val="24"/>
          <w:szCs w:val="24"/>
          <w:highlight w:val="none"/>
          <w:lang w:val="en-US" w:eastAsia="zh-CN" w:bidi="ar-SA"/>
        </w:rPr>
        <w:t>构建全新的LIS系统基础架构，优化和完善检验流程、系统功能。以病人为中心，以检验科室为主体，利用大数据和移动互联网等技术促进医疗服务模式创新，优化工作流程，促进科室管理和数据反哺，全面提升检验科室医护水平和管理层的决策辅助支撑能力，促进检验服务和决策更加科学。</w:t>
      </w:r>
    </w:p>
    <w:p w14:paraId="37787B4B">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r>
        <w:rPr>
          <w:rFonts w:hint="eastAsia" w:ascii="宋体" w:hAnsi="宋体" w:eastAsia="宋体" w:cs="宋体"/>
          <w:b/>
          <w:kern w:val="2"/>
          <w:sz w:val="24"/>
          <w:szCs w:val="24"/>
          <w:lang w:val="en-US" w:eastAsia="zh-CN" w:bidi="ar-SA"/>
        </w:rPr>
        <w:t>1.1.1.</w:t>
      </w:r>
      <w:r>
        <w:rPr>
          <w:rFonts w:hint="eastAsia" w:ascii="宋体" w:hAnsi="宋体" w:eastAsia="宋体" w:cs="宋体"/>
          <w:sz w:val="24"/>
          <w:szCs w:val="24"/>
        </w:rPr>
        <w:t>条码流程管理</w:t>
      </w:r>
      <w:bookmarkEnd w:id="2"/>
    </w:p>
    <w:p w14:paraId="3C7E09D7">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1.1.1.1.</w:t>
      </w:r>
      <w:r>
        <w:rPr>
          <w:rFonts w:hint="eastAsia" w:ascii="宋体" w:hAnsi="宋体" w:eastAsia="宋体" w:cs="宋体"/>
          <w:sz w:val="24"/>
          <w:szCs w:val="24"/>
        </w:rPr>
        <w:t>检验设备条码双工通讯</w:t>
      </w:r>
    </w:p>
    <w:p w14:paraId="5C8B4B1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具备条码标本直接上仪器试管架，自动核收的双向通讯功能。 </w:t>
      </w:r>
    </w:p>
    <w:p w14:paraId="188D6D4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支持与双工仪器对接，实现无条码标本按试管架和试管位置双向通讯功能。 </w:t>
      </w:r>
    </w:p>
    <w:p w14:paraId="70FDDD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并可自动接收仪器检验结果及向仪器发送检验项目，以便仪器按指定项目检验标本功能。</w:t>
      </w:r>
    </w:p>
    <w:p w14:paraId="4E0B1592">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1.1.1.2.</w:t>
      </w:r>
      <w:r>
        <w:rPr>
          <w:rFonts w:hint="eastAsia" w:ascii="宋体" w:hAnsi="宋体" w:eastAsia="宋体" w:cs="宋体"/>
          <w:sz w:val="24"/>
          <w:szCs w:val="24"/>
        </w:rPr>
        <w:t>门急诊条码管理</w:t>
      </w:r>
    </w:p>
    <w:p w14:paraId="0739BA5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具备材料费自动计费管理功能。 </w:t>
      </w:r>
    </w:p>
    <w:p w14:paraId="0A6F73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具备预缴金病人收费确认功能。 </w:t>
      </w:r>
    </w:p>
    <w:p w14:paraId="1C2881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具备增加收费项目条码标志、急诊标志、材料费标志功能。 </w:t>
      </w:r>
    </w:p>
    <w:p w14:paraId="3E393C0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具备通过医嘱匹配收费项目与条码分组、报告回执单功能。 </w:t>
      </w:r>
    </w:p>
    <w:p w14:paraId="11D72E8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具备回执单管理功能，包含统一领取说明、依据采集时间的报告周期、报告日期+周末顺延+检测日程+抽血截止时间+截止延续天数+统一领取报告时间三种常用模式。 </w:t>
      </w:r>
    </w:p>
    <w:p w14:paraId="304D865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具备采集注意事项提醒、校验适用性提醒、校验填报提醒、关联项目重复提醒功能。 </w:t>
      </w:r>
    </w:p>
    <w:p w14:paraId="699B53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具备已绑定条码的检验项目强制退费功能。 </w:t>
      </w:r>
    </w:p>
    <w:p w14:paraId="24CC670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具备标本采集手工登记及支持通过文件导入批量登记生成条码功能。 </w:t>
      </w:r>
    </w:p>
    <w:p w14:paraId="6DE0F6C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具备检验标本采集管理功能：包含按照标本类型、执行科室、预执行时间、检验申请单、独立绑定标志、收费项目等条件拆分和合并成条码。 </w:t>
      </w:r>
    </w:p>
    <w:p w14:paraId="764612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具备医嘱与条码取消绑定、条码替换、条码补打、采集时间更新、条码集中打印功能。 </w:t>
      </w:r>
    </w:p>
    <w:p w14:paraId="0D0EC02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支持条码预印模式。 </w:t>
      </w:r>
    </w:p>
    <w:p w14:paraId="6C9D3F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支持预印模式下，绑定条码后即时打印模式功能。 </w:t>
      </w:r>
    </w:p>
    <w:p w14:paraId="6CF8357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支持与医院信息系统对接，接收医生站检验申请信息、病人信息及收费信息并确认。 </w:t>
      </w:r>
    </w:p>
    <w:p w14:paraId="39183F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w:t>
      </w:r>
    </w:p>
    <w:p w14:paraId="1C909D6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具备信息汇总及单据打印功能：按条码类别、收费项目、收费项目人次实时集中查询生成采样任务表、标本交接单电子单据并打印。 </w:t>
      </w:r>
    </w:p>
    <w:p w14:paraId="6056AD2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具备护工对标本进行信息查询、签收确认及运送时间更新功能。 </w:t>
      </w:r>
    </w:p>
    <w:p w14:paraId="1D3918E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auto"/>
          <w:kern w:val="2"/>
          <w:sz w:val="24"/>
          <w:szCs w:val="24"/>
          <w:highlight w:val="none"/>
          <w:lang w:val="en-US" w:eastAsia="zh-CN" w:bidi="ar-SA"/>
        </w:rPr>
        <w:t>具备标本签收明细打印，标本交接异常情况登记功能。</w:t>
      </w:r>
    </w:p>
    <w:p w14:paraId="745B4CA8">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1.1.1.3.</w:t>
      </w:r>
      <w:r>
        <w:rPr>
          <w:rFonts w:hint="eastAsia" w:ascii="宋体" w:hAnsi="宋体" w:eastAsia="宋体" w:cs="宋体"/>
          <w:sz w:val="24"/>
          <w:szCs w:val="24"/>
        </w:rPr>
        <w:t>住院条码管理</w:t>
      </w:r>
    </w:p>
    <w:p w14:paraId="67A7D63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具备材料费自动计费管理功能。 </w:t>
      </w:r>
    </w:p>
    <w:p w14:paraId="766A162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具备增加收费项目条码标志、急诊标志、材料费标志功能。 </w:t>
      </w:r>
    </w:p>
    <w:p w14:paraId="6019D34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具备通过医嘱匹配收费项目与条码分组、报告回执单功能。 </w:t>
      </w:r>
    </w:p>
    <w:p w14:paraId="1EB41AD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具备回执单管理功能，包含统一领取说明、依据采集时间的报告周期、报告日期+周末顺延+检测日程+抽血截止时间+截止延续天数+统一领取报告时间三种常用模式。 </w:t>
      </w:r>
    </w:p>
    <w:p w14:paraId="03BD31E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具备采集注意事项提醒、校验适用性提醒、校验填报提醒、关联项目重复提醒功能。 </w:t>
      </w:r>
    </w:p>
    <w:p w14:paraId="5EAA513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具备已绑定条码的检验项目强制退费功能。 </w:t>
      </w:r>
    </w:p>
    <w:p w14:paraId="51FF8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具备标本采集手工登记及支持通过文件导入批量登记生成条码功能。 </w:t>
      </w:r>
    </w:p>
    <w:p w14:paraId="4BBDA58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具备检验标本采集管理功能：包含按照标本类型、执行科室、预执行时间、 </w:t>
      </w:r>
    </w:p>
    <w:p w14:paraId="7488157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检验申请单，独立绑定标志、收费项目等条件拆分和合并成条码。 </w:t>
      </w:r>
    </w:p>
    <w:p w14:paraId="607A24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具备医嘱与条码取消绑定、条码替换、条码补打、采集时间更新、条码集中打印功能。 </w:t>
      </w:r>
    </w:p>
    <w:p w14:paraId="343779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支持条码预印模式。 </w:t>
      </w:r>
    </w:p>
    <w:p w14:paraId="679EDED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支持预印模式下，绑定条码后即时打印模式功能。 </w:t>
      </w:r>
    </w:p>
    <w:p w14:paraId="170314D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支持与医院信息系统对接，接收医生站检验申请信息、病人信息及收费信息并确认。 </w:t>
      </w:r>
    </w:p>
    <w:p w14:paraId="41E8A9F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 </w:t>
      </w:r>
    </w:p>
    <w:p w14:paraId="7C76154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具备信息汇总及单据打印功能：按条码类别、收费项目、收费项目人次实时 </w:t>
      </w:r>
    </w:p>
    <w:p w14:paraId="782DAC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集中查询生成采样任务表、标本交接单电子单据并打印。 </w:t>
      </w:r>
    </w:p>
    <w:p w14:paraId="3B012C1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具备护工对标本进行信息查询、签收确认及运送时间更新功能。</w:t>
      </w:r>
    </w:p>
    <w:p w14:paraId="66BF22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pPr>
      <w:r>
        <w:rPr>
          <w:rFonts w:hint="eastAsia" w:ascii="宋体" w:hAnsi="宋体" w:eastAsia="宋体" w:cs="宋体"/>
          <w:color w:val="auto"/>
          <w:kern w:val="2"/>
          <w:sz w:val="24"/>
          <w:szCs w:val="24"/>
          <w:highlight w:val="none"/>
          <w:lang w:val="en-US" w:eastAsia="zh-CN" w:bidi="ar-SA"/>
        </w:rPr>
        <w:t>具备标本签收明细打印，标本交接异常情况登记的功能。</w:t>
      </w:r>
    </w:p>
    <w:p w14:paraId="7038B4AA">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1.1.1.4.</w:t>
      </w:r>
      <w:r>
        <w:rPr>
          <w:rFonts w:hint="eastAsia" w:ascii="宋体" w:hAnsi="宋体" w:eastAsia="宋体" w:cs="宋体"/>
          <w:sz w:val="24"/>
          <w:szCs w:val="24"/>
        </w:rPr>
        <w:t>体检条码管理</w:t>
      </w:r>
    </w:p>
    <w:p w14:paraId="5A779D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具备材料费自动计费管理功能。 </w:t>
      </w:r>
    </w:p>
    <w:p w14:paraId="4BB626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具备增加收费项目条码标志、急诊标志、材料费标志功能。 </w:t>
      </w:r>
    </w:p>
    <w:p w14:paraId="677A05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具备通过医嘱匹配收费项目与条码分组、报告回执单功能。 </w:t>
      </w:r>
    </w:p>
    <w:p w14:paraId="7B2C0A2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具备回执单管理功能，包含统一领取说明、依据采集时间的报告周期、报告日期+周末顺延+检测日程+抽血截止时间+截止延续天数+统一领取报告时间三种常用模式。 </w:t>
      </w:r>
    </w:p>
    <w:p w14:paraId="485B253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具备采集注意事项提醒、校验适用性提醒、校验填报提醒、关联项目重复提醒功能。 </w:t>
      </w:r>
    </w:p>
    <w:p w14:paraId="636797B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具备已绑定条码的检验项目强制退费功能。 </w:t>
      </w:r>
    </w:p>
    <w:p w14:paraId="46F8A6F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具备标本采集手工登记及支持通过文件导入批量登记生成条码功能。 </w:t>
      </w:r>
    </w:p>
    <w:p w14:paraId="207982D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具备检验标本采集管理功能：包含按照标本类型、执行科室、预执行时间、检验申请单，独立绑定标志、收费项目等条件拆分和合并成条码。 </w:t>
      </w:r>
    </w:p>
    <w:p w14:paraId="39D337C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具备医嘱与条码取消绑定、条码替换、条码补打、采集时间更新、条码集中打印功能。 </w:t>
      </w:r>
    </w:p>
    <w:p w14:paraId="7606C74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支持条码预印模式。 </w:t>
      </w:r>
    </w:p>
    <w:p w14:paraId="0CBC6D6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支持预印模式下，绑定条码后即时打印模式功能。 </w:t>
      </w:r>
    </w:p>
    <w:p w14:paraId="2442CC5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支持与医院信息系统对接，接收医生站检验申请信息、病人信息及收费信息并确认。 </w:t>
      </w:r>
    </w:p>
    <w:p w14:paraId="1638CD6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标本跟踪查询功能：标本跟踪在同一界面显示患者信息，标本从绑定、采样、签收、检测、审核、发布的实时状态（时间、操作者、设备机台）及全流程，预计取报告份数，异常流程，检测项目，患者、科室及病区联系方式，实现对标本信息的一键追溯。 </w:t>
      </w:r>
    </w:p>
    <w:p w14:paraId="214A6FC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具备信息汇总及单据打印功能：按条码类别、收费项目、收费项目人次实时集中查询生成采样任务表、标本交接单电子单据并打印。 </w:t>
      </w:r>
    </w:p>
    <w:p w14:paraId="2ACEE466">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具备护工对标本进行信息查询、签收确认及运送时间更新功能。</w:t>
      </w:r>
    </w:p>
    <w:p w14:paraId="3E2B9D3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具备标本签收明细打印，标本交接异常情况登记的功能。</w:t>
      </w:r>
    </w:p>
    <w:p w14:paraId="22F774DC">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3" w:name="_Toc213686204"/>
      <w:r>
        <w:rPr>
          <w:rFonts w:hint="eastAsia" w:ascii="宋体" w:hAnsi="宋体" w:eastAsia="宋体" w:cs="宋体"/>
          <w:b/>
          <w:kern w:val="2"/>
          <w:sz w:val="24"/>
          <w:szCs w:val="24"/>
          <w:lang w:val="en-US" w:eastAsia="zh-CN" w:bidi="ar-SA"/>
        </w:rPr>
        <w:t>1.1.2.</w:t>
      </w:r>
      <w:r>
        <w:rPr>
          <w:rFonts w:hint="eastAsia" w:ascii="宋体" w:hAnsi="宋体" w:eastAsia="宋体" w:cs="宋体"/>
          <w:sz w:val="24"/>
          <w:szCs w:val="24"/>
        </w:rPr>
        <w:t>常规检验管理</w:t>
      </w:r>
      <w:bookmarkEnd w:id="3"/>
    </w:p>
    <w:p w14:paraId="51F9524E">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1.1.2.1.</w:t>
      </w:r>
      <w:r>
        <w:rPr>
          <w:rFonts w:hint="eastAsia" w:ascii="宋体" w:hAnsi="宋体" w:eastAsia="宋体" w:cs="宋体"/>
          <w:sz w:val="24"/>
          <w:szCs w:val="24"/>
        </w:rPr>
        <w:t>常规设备联机</w:t>
      </w:r>
    </w:p>
    <w:p w14:paraId="132DE18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具备数据转换、偏移、计算等处理功能。</w:t>
      </w:r>
    </w:p>
    <w:p w14:paraId="0D41F29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具备常规转质控自动处理功能。</w:t>
      </w:r>
    </w:p>
    <w:p w14:paraId="3423D03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支持常规设备联机，实现各类设备仪器与信息系统的信息通讯，包含单向数据采集、仪器控制、双向通讯等辅助仪器实现自动化等功能。</w:t>
      </w:r>
    </w:p>
    <w:p w14:paraId="337F8E5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支持从检验仪器自动接收检验结果功能。支持常规、急诊、质控数据接收功能。</w:t>
      </w:r>
    </w:p>
    <w:p w14:paraId="38711C82">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1.1.2.2.</w:t>
      </w:r>
      <w:r>
        <w:rPr>
          <w:rFonts w:hint="eastAsia" w:ascii="宋体" w:hAnsi="宋体" w:eastAsia="宋体" w:cs="宋体"/>
          <w:sz w:val="24"/>
          <w:szCs w:val="24"/>
        </w:rPr>
        <w:t>标本登记及收费</w:t>
      </w:r>
    </w:p>
    <w:p w14:paraId="2B7A60F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具备实验室对标本进行集中、小组核收、标本的让步接收功能，包含对需要补充检验申请的添加检验申请并计费，记录签收人、签收时间、生成签收号。</w:t>
      </w:r>
    </w:p>
    <w:p w14:paraId="1F9F827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具备手工计费及</w:t>
      </w:r>
      <w:r>
        <w:rPr>
          <w:rFonts w:hint="eastAsia" w:ascii="宋体" w:hAnsi="宋体" w:eastAsia="宋体" w:cs="宋体"/>
          <w:sz w:val="24"/>
          <w:szCs w:val="24"/>
          <w:lang w:eastAsia="zh-Hans"/>
        </w:rPr>
        <w:t>补退费</w:t>
      </w:r>
      <w:r>
        <w:rPr>
          <w:rFonts w:hint="eastAsia" w:ascii="宋体" w:hAnsi="宋体" w:eastAsia="宋体" w:cs="宋体"/>
          <w:sz w:val="24"/>
          <w:szCs w:val="24"/>
          <w:lang w:eastAsia="zh-CN"/>
        </w:rPr>
        <w:t>功能。</w:t>
      </w:r>
    </w:p>
    <w:p w14:paraId="0B44E0B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具备检验费用核对功能。</w:t>
      </w:r>
    </w:p>
    <w:p w14:paraId="7888190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具备免费检验管理功能。</w:t>
      </w:r>
    </w:p>
    <w:p w14:paraId="0759B11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具备条码标本接收登记、外来标本接收登记、手工单标本接收登记功能。</w:t>
      </w:r>
    </w:p>
    <w:p w14:paraId="702FDB9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具备对标本重复、漏检、送检超时、送检地错误等问题进行控制功能。</w:t>
      </w:r>
    </w:p>
    <w:p w14:paraId="705C508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具备不合格标本拒收记录，并记录不合格原因功能。</w:t>
      </w:r>
    </w:p>
    <w:p w14:paraId="408A9974">
      <w:pPr>
        <w:pageBreakBefore w:val="0"/>
        <w:tabs>
          <w:tab w:val="left" w:pos="7313"/>
        </w:tabs>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支持与护士站系统对接，</w:t>
      </w:r>
      <w:r>
        <w:rPr>
          <w:rFonts w:hint="eastAsia" w:ascii="宋体" w:hAnsi="宋体" w:eastAsia="宋体" w:cs="宋体"/>
          <w:sz w:val="24"/>
          <w:szCs w:val="24"/>
          <w:lang w:eastAsia="zh-Hans"/>
        </w:rPr>
        <w:t>实现拒收标本通知</w:t>
      </w:r>
      <w:r>
        <w:rPr>
          <w:rFonts w:hint="eastAsia" w:ascii="宋体" w:hAnsi="宋体" w:eastAsia="宋体" w:cs="宋体"/>
          <w:sz w:val="24"/>
          <w:szCs w:val="24"/>
          <w:lang w:eastAsia="zh-CN"/>
        </w:rPr>
        <w:t>功能。</w:t>
      </w:r>
    </w:p>
    <w:p w14:paraId="17A835CB">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1.1.2.3.</w:t>
      </w:r>
      <w:r>
        <w:rPr>
          <w:rFonts w:hint="eastAsia" w:ascii="宋体" w:hAnsi="宋体" w:eastAsia="宋体" w:cs="宋体"/>
          <w:sz w:val="24"/>
          <w:szCs w:val="24"/>
        </w:rPr>
        <w:t>检验结果处理模块</w:t>
      </w:r>
    </w:p>
    <w:p w14:paraId="08BB28A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具备检验结果确认/修改、批量确认/修改，多结果合并，外部数据导入，手工结果录入等功能。</w:t>
      </w:r>
    </w:p>
    <w:p w14:paraId="18A66F4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具备对需要分类的标本进行分类、自动产生实验室内部标本号功能。</w:t>
      </w:r>
    </w:p>
    <w:p w14:paraId="1966B44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具备对已签收的条码统一入库功能，对生化、自动免疫仪器标本提供批量入库功能。</w:t>
      </w:r>
    </w:p>
    <w:p w14:paraId="41C824F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具备对数据进行增加、删除、修改、复制、标本号修改等功能，并提供各种操作进行自动记录。</w:t>
      </w:r>
    </w:p>
    <w:p w14:paraId="448AF8A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具备报告批量输入相同信息和检验结果功能。</w:t>
      </w:r>
    </w:p>
    <w:p w14:paraId="2D99C85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具备标本存放位置功能，提供销毁情况记录，销毁记录查询。</w:t>
      </w:r>
    </w:p>
    <w:p w14:paraId="3CBF973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具备对报告的项目数据进行批量校正功能。具备对仪器，项目，检验日期，标本范围查询项目功能。</w:t>
      </w:r>
    </w:p>
    <w:p w14:paraId="2BF07C1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具备通过普通公式或特殊公式来校正数据结果功能。</w:t>
      </w:r>
    </w:p>
    <w:p w14:paraId="7251084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具备复做标本管理功能，为病人增加复做标志。</w:t>
      </w:r>
    </w:p>
    <w:p w14:paraId="431CBB6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具备修改检验项目结果值，保存每次的结果值功能。</w:t>
      </w:r>
    </w:p>
    <w:p w14:paraId="1C25100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能够根据预先设定的审核规则对复做标本进行自动筛选。提供历次复查情况和结果记录、统计和分析功能。</w:t>
      </w:r>
    </w:p>
    <w:p w14:paraId="5663FD3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跟踪查询功能：通过条码号、病员号、标本种类、入库仪器等多条件检索的方式对标本流程进行全过程查询，标本跟踪在同一界面显示患者信息，标本从绑定、采样、签收、检测、审核、发布的实时状态（时间、操作者、设备机台）等，实现对标本信息的全流程追溯。</w:t>
      </w:r>
    </w:p>
    <w:p w14:paraId="15D4592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具备对报告的项目数据进行批量校正功能。通过仪器、项目、检验日期、样本范围查询出项目，通过公式来校正数据结果。</w:t>
      </w:r>
    </w:p>
    <w:p w14:paraId="5D04F3F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具备显示病人的超限比较结果集功能。比较距执行日期最近一次的结果。并能通过显示的内容查询到该化验单，可以比较单个项目和组合项目。</w:t>
      </w:r>
    </w:p>
    <w:p w14:paraId="7372F57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具备检验数据自动分析功能：检验项目数量验证，结果超出临界值控制，自定义判定规则执行。</w:t>
      </w:r>
    </w:p>
    <w:p w14:paraId="2EDC286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具备在报告管理界面集成跳转终审、标本签收、标本入库、批量操作、检验360功能。</w:t>
      </w:r>
    </w:p>
    <w:p w14:paraId="3C0B88B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具备趋势分析功能，医生可查看该患者在医院做的这项指标的所有趋势，并可以进行下载保存，同时可以关联指标相关项，快速查看与该指标相关联的指标。</w:t>
      </w:r>
    </w:p>
    <w:p w14:paraId="054EBAA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具备标本信息过滤功能，可按照门诊、住院、急诊、未审核、已审核、危急值、TAT等条件过滤。</w:t>
      </w:r>
    </w:p>
    <w:p w14:paraId="2644413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具备自定义知识库的建议与解释功能。</w:t>
      </w:r>
    </w:p>
    <w:p w14:paraId="4568E83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支持与医院信息系统对接，获取医生站信息及电子病历信息。</w:t>
      </w:r>
    </w:p>
    <w:p w14:paraId="5F784313">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1.1.2.4.</w:t>
      </w:r>
      <w:r>
        <w:rPr>
          <w:rFonts w:hint="eastAsia" w:ascii="宋体" w:hAnsi="宋体" w:eastAsia="宋体" w:cs="宋体"/>
          <w:sz w:val="24"/>
          <w:szCs w:val="24"/>
        </w:rPr>
        <w:t>检验报告发布回收</w:t>
      </w:r>
    </w:p>
    <w:p w14:paraId="29C7132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具备按不同分类进行报告查询、浏览、打印和批量打印功能。</w:t>
      </w:r>
    </w:p>
    <w:p w14:paraId="21C47EF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报告发布支持 Web查询、医生站调阅、大屏通知、服务台打印。</w:t>
      </w:r>
    </w:p>
    <w:p w14:paraId="5E39761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具备发布报告回收功能。</w:t>
      </w:r>
    </w:p>
    <w:p w14:paraId="75DDCA89">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1.1.2.5.</w:t>
      </w:r>
      <w:r>
        <w:rPr>
          <w:rFonts w:hint="eastAsia" w:ascii="宋体" w:hAnsi="宋体" w:eastAsia="宋体" w:cs="宋体"/>
          <w:sz w:val="24"/>
          <w:szCs w:val="24"/>
        </w:rPr>
        <w:t>检验报告临床调阅</w:t>
      </w:r>
    </w:p>
    <w:p w14:paraId="2A654D7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具备检验结果、报告单的浏览功能。</w:t>
      </w:r>
    </w:p>
    <w:p w14:paraId="786B158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具备扩展调阅历史报告功能。</w:t>
      </w:r>
    </w:p>
    <w:p w14:paraId="0B54E63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支持报告打印原文件调阅功能。</w:t>
      </w:r>
    </w:p>
    <w:p w14:paraId="582B7030">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1.1.2.6.</w:t>
      </w:r>
      <w:r>
        <w:rPr>
          <w:rFonts w:hint="eastAsia" w:ascii="宋体" w:hAnsi="宋体" w:eastAsia="宋体" w:cs="宋体"/>
          <w:sz w:val="24"/>
          <w:szCs w:val="24"/>
        </w:rPr>
        <w:t>标本全流程跟踪管理</w:t>
      </w:r>
    </w:p>
    <w:p w14:paraId="2715A7A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具备报告全流程跟踪功能，同一界面查询报告的详情信息，包括全流程明细、报告汇总、检验项目、修改记录-报告、修改记录-结果、危急值项目、危急值流程、标本全流程。</w:t>
      </w:r>
    </w:p>
    <w:p w14:paraId="443A159A">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1.1.2.7.</w:t>
      </w:r>
      <w:r>
        <w:rPr>
          <w:rFonts w:hint="eastAsia" w:ascii="宋体" w:hAnsi="宋体" w:eastAsia="宋体" w:cs="宋体"/>
          <w:sz w:val="24"/>
          <w:szCs w:val="24"/>
        </w:rPr>
        <w:t>检验报告360视图管理</w:t>
      </w:r>
    </w:p>
    <w:p w14:paraId="188EF5E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具备同一界面可视化显示该病人的全部历史报告信息功能。</w:t>
      </w:r>
    </w:p>
    <w:p w14:paraId="1723982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具备展现每份报告的全流程信息功能，包括：对应的医嘱列表、联系方式。以及可按仪器或者检验分类多种检索条件查看该患者的历史报告。</w:t>
      </w:r>
    </w:p>
    <w:p w14:paraId="74D1918F">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具备对每个分类的报告结果进行对比查看功能。</w:t>
      </w:r>
    </w:p>
    <w:p w14:paraId="6D046CFC">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1.1.2.8.</w:t>
      </w:r>
      <w:r>
        <w:rPr>
          <w:rFonts w:hint="eastAsia" w:ascii="宋体" w:hAnsi="宋体" w:eastAsia="宋体" w:cs="宋体"/>
          <w:sz w:val="24"/>
          <w:szCs w:val="24"/>
        </w:rPr>
        <w:t>查询及统计管理</w:t>
      </w:r>
    </w:p>
    <w:p w14:paraId="3F742CE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具备标本查询、申请单查询、报告查询以及各种记录查询、统计、分析功能。</w:t>
      </w:r>
    </w:p>
    <w:p w14:paraId="67E01FD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具备提供基础常用报表功能，包括工作量统计、危急值统计、复做标本统计等。</w:t>
      </w:r>
    </w:p>
    <w:p w14:paraId="779F7044">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具备用户个性化定制功能。</w:t>
      </w:r>
    </w:p>
    <w:p w14:paraId="2B570EF8">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1.1.2.9.</w:t>
      </w:r>
      <w:r>
        <w:rPr>
          <w:rFonts w:hint="eastAsia" w:ascii="宋体" w:hAnsi="宋体" w:eastAsia="宋体" w:cs="宋体"/>
          <w:sz w:val="24"/>
          <w:szCs w:val="24"/>
        </w:rPr>
        <w:t>自动化室内质控管理</w:t>
      </w:r>
    </w:p>
    <w:p w14:paraId="746D9C5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至少</w:t>
      </w:r>
      <w:r>
        <w:rPr>
          <w:rFonts w:hint="eastAsia" w:ascii="宋体" w:hAnsi="宋体" w:eastAsia="宋体" w:cs="宋体"/>
          <w:sz w:val="24"/>
          <w:szCs w:val="24"/>
          <w:lang w:eastAsia="zh-CN"/>
        </w:rPr>
        <w:t>9种质控图绘制功能：包括：Z-分数图、L-J图、柱状图、尤顿图、±质控图、定性质控图、累积和图、双区法质控图、滴度质控图。质控图绘制可按月按天描绘。</w:t>
      </w:r>
    </w:p>
    <w:p w14:paraId="050734A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具备不同月份的质控点绘制在同一图上进行对比功能。</w:t>
      </w:r>
    </w:p>
    <w:p w14:paraId="191C01E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提供</w:t>
      </w:r>
      <w:r>
        <w:rPr>
          <w:rFonts w:hint="eastAsia" w:ascii="宋体" w:hAnsi="宋体" w:eastAsia="宋体" w:cs="宋体"/>
          <w:sz w:val="24"/>
          <w:szCs w:val="24"/>
          <w:lang w:val="en-US" w:eastAsia="zh-CN"/>
        </w:rPr>
        <w:t>至少</w:t>
      </w:r>
      <w:r>
        <w:rPr>
          <w:rFonts w:hint="eastAsia" w:ascii="宋体" w:hAnsi="宋体" w:eastAsia="宋体" w:cs="宋体"/>
          <w:sz w:val="24"/>
          <w:szCs w:val="24"/>
          <w:lang w:eastAsia="zh-CN"/>
        </w:rPr>
        <w:t>11大类常用的质控规则，包括：标准差倍数规则、极差规则、趋势规则、平均数控制规则、比例控制规则、±半定量规则、数字半定量规则、定性控制规则、累积和控制规则、滴度半定量规则和经典多规则组合，如WESTGARD质控规则。</w:t>
      </w:r>
    </w:p>
    <w:p w14:paraId="31A81309">
      <w:pPr>
        <w:pageBreakBefore w:val="0"/>
        <w:tabs>
          <w:tab w:val="left" w:pos="5643"/>
        </w:tabs>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具备生化临检免疫的定量质控功能。</w:t>
      </w:r>
    </w:p>
    <w:p w14:paraId="1FE2641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具备即刻法质控，由仪器直接传输质控数据功能。重新测定当次的结果,累计满20个数据后,可使用常规的质控图。</w:t>
      </w:r>
    </w:p>
    <w:p w14:paraId="17E20F3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具备月、季、年的质控分析总结，质控阶段性改进质控管理，开放质控规则定义功能。</w:t>
      </w:r>
    </w:p>
    <w:p w14:paraId="562951C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具备失控自动报警、质控数据自动分析和失控处理意见记录功能。</w:t>
      </w:r>
    </w:p>
    <w:p w14:paraId="5A60E7B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具备重传覆盖功能，解决仪器重传质控数据时质控曲线上显示多个点的问题。</w:t>
      </w:r>
    </w:p>
    <w:p w14:paraId="0595087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具备双区法质控功能，解决免疫阴阳质控品适用Z分数图控制CV过大问题。</w:t>
      </w:r>
    </w:p>
    <w:p w14:paraId="7588F64D">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支持与仪器对接，实现质控数据自动接收，自动绘制质控图功能。</w:t>
      </w:r>
    </w:p>
    <w:p w14:paraId="464DEE5F">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1.1.2.10.</w:t>
      </w:r>
      <w:r>
        <w:rPr>
          <w:rFonts w:hint="eastAsia" w:ascii="宋体" w:hAnsi="宋体" w:eastAsia="宋体" w:cs="宋体"/>
          <w:sz w:val="24"/>
          <w:szCs w:val="24"/>
        </w:rPr>
        <w:t>检验危急值提醒</w:t>
      </w:r>
    </w:p>
    <w:p w14:paraId="62EE94C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具备系统配置设定危急值上下限功能。</w:t>
      </w:r>
    </w:p>
    <w:p w14:paraId="6F0DC74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具备根据设定的危急值上下限自动判断是否为危急值功能。</w:t>
      </w:r>
    </w:p>
    <w:p w14:paraId="6474C62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具备智能判断危急值功能，通过颜色提示检验医师。</w:t>
      </w:r>
    </w:p>
    <w:p w14:paraId="21FA875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具备标本检验出危急值启动报警功能。</w:t>
      </w:r>
    </w:p>
    <w:p w14:paraId="1103F67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具备当病人所做的项目结果超过所设置的数值上下限，系统会自动判断为危急值。</w:t>
      </w:r>
    </w:p>
    <w:p w14:paraId="5F6CF4C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具备危急值设置按照标本种类、性别、年龄、临床诊断及科别等类型进行分类。</w:t>
      </w:r>
    </w:p>
    <w:p w14:paraId="78BF468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支持仪器产生危急值时，系统通过科室大屏幕提醒检验人员及时处理及审核超时报警功能。</w:t>
      </w:r>
    </w:p>
    <w:p w14:paraId="19A61CF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具备对危急值的各种统计功能，如月统计回报率、未发布危急值报告等多维度统计。</w:t>
      </w:r>
    </w:p>
    <w:p w14:paraId="0A30BD43">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1.1.2.11.</w:t>
      </w:r>
      <w:r>
        <w:rPr>
          <w:rFonts w:hint="eastAsia" w:ascii="宋体" w:hAnsi="宋体" w:eastAsia="宋体" w:cs="宋体"/>
          <w:sz w:val="24"/>
          <w:szCs w:val="24"/>
        </w:rPr>
        <w:t>临床危急值推送</w:t>
      </w:r>
    </w:p>
    <w:p w14:paraId="20EC555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与临床信息系统对接，危急值发布至临床时，通过声音、弹窗方式自动进行提示功能，操作人员可通过点击弹窗查看详细危急值信息。临床科室确认接收并完成危急值信息处理后，系统自动将危急值的处理措施和过程信息进行记录，包含接收科室、接收人、接收时间反馈给检验科室。</w:t>
      </w:r>
    </w:p>
    <w:p w14:paraId="13D83D6E">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支持与护士站对接，将危急值推送到护士站。护士站相关人员通过系统接收检验科发出的危急值报告，并进行接收确认，并及时告知值班医生或管床医生。</w:t>
      </w:r>
    </w:p>
    <w:p w14:paraId="14C365A5">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1.1.2.12.</w:t>
      </w:r>
      <w:r>
        <w:rPr>
          <w:rFonts w:hint="eastAsia" w:ascii="宋体" w:hAnsi="宋体" w:eastAsia="宋体" w:cs="宋体"/>
          <w:sz w:val="24"/>
          <w:szCs w:val="24"/>
        </w:rPr>
        <w:t>标本状态提醒</w:t>
      </w:r>
    </w:p>
    <w:p w14:paraId="1E1C99F7">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具备急诊标本提醒，不合格标本提醒，危急标本提醒，实验室过程监控、异常标本监控、标本流转监控功能。</w:t>
      </w:r>
    </w:p>
    <w:p w14:paraId="43CC2D69">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支持通过大屏幕监控或工作站消息窗口方式对检验全过程中的异常情况进行报警和警示功能。</w:t>
      </w:r>
    </w:p>
    <w:p w14:paraId="66FD1B22">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4" w:name="_Toc213686205"/>
      <w:r>
        <w:rPr>
          <w:rFonts w:hint="eastAsia" w:ascii="宋体" w:hAnsi="宋体" w:eastAsia="宋体" w:cs="宋体"/>
          <w:b/>
          <w:kern w:val="2"/>
          <w:sz w:val="24"/>
          <w:szCs w:val="24"/>
          <w:lang w:val="en-US" w:eastAsia="zh-CN" w:bidi="ar-SA"/>
        </w:rPr>
        <w:t>1.1.3.</w:t>
      </w:r>
      <w:r>
        <w:rPr>
          <w:rFonts w:hint="eastAsia" w:ascii="宋体" w:hAnsi="宋体" w:eastAsia="宋体" w:cs="宋体"/>
          <w:sz w:val="24"/>
          <w:szCs w:val="24"/>
        </w:rPr>
        <w:t>微生物检验管理</w:t>
      </w:r>
      <w:bookmarkEnd w:id="4"/>
    </w:p>
    <w:p w14:paraId="2BD0C6CA">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1.1.3.1.</w:t>
      </w:r>
      <w:r>
        <w:rPr>
          <w:rFonts w:hint="eastAsia" w:ascii="宋体" w:hAnsi="宋体" w:eastAsia="宋体" w:cs="宋体"/>
          <w:sz w:val="24"/>
          <w:szCs w:val="24"/>
        </w:rPr>
        <w:t>微生物鉴定仪联机</w:t>
      </w:r>
    </w:p>
    <w:p w14:paraId="1EFD444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具备抗生素药物代码转换功能。</w:t>
      </w:r>
    </w:p>
    <w:p w14:paraId="1A2DBEBF">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支持培养、鉴定药敏等微生物设备双工功能。</w:t>
      </w:r>
    </w:p>
    <w:p w14:paraId="3B715199">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1.1.3.2.</w:t>
      </w:r>
      <w:r>
        <w:rPr>
          <w:rFonts w:hint="eastAsia" w:ascii="宋体" w:hAnsi="宋体" w:eastAsia="宋体" w:cs="宋体"/>
          <w:sz w:val="24"/>
          <w:szCs w:val="24"/>
        </w:rPr>
        <w:t>报告管理</w:t>
      </w:r>
    </w:p>
    <w:p w14:paraId="25A97A1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具备涂片、培养、鉴定/药敏报告功能。</w:t>
      </w:r>
    </w:p>
    <w:p w14:paraId="23533BC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具备微生物检验分步计费功能。</w:t>
      </w:r>
    </w:p>
    <w:p w14:paraId="4B10652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具备查看患者所有历史微生物报告功能。</w:t>
      </w:r>
    </w:p>
    <w:p w14:paraId="40CFBF2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具备标本信息过滤功能。</w:t>
      </w:r>
    </w:p>
    <w:p w14:paraId="54111C4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具备全流程信息查看功能。</w:t>
      </w:r>
    </w:p>
    <w:p w14:paraId="20D8846C">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1.1.3.3.</w:t>
      </w:r>
      <w:r>
        <w:rPr>
          <w:rFonts w:hint="eastAsia" w:ascii="宋体" w:hAnsi="宋体" w:eastAsia="宋体" w:cs="宋体"/>
          <w:sz w:val="24"/>
          <w:szCs w:val="24"/>
        </w:rPr>
        <w:t>危急值管理</w:t>
      </w:r>
    </w:p>
    <w:p w14:paraId="4338024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具备智能判断危急值，并通过颜色提示微生物医师功能。</w:t>
      </w:r>
    </w:p>
    <w:p w14:paraId="35823FE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支持与临床信息系统对接，危急值发布</w:t>
      </w:r>
      <w:r>
        <w:rPr>
          <w:rFonts w:hint="eastAsia" w:ascii="宋体" w:hAnsi="宋体" w:eastAsia="宋体" w:cs="宋体"/>
          <w:sz w:val="24"/>
          <w:szCs w:val="24"/>
          <w:lang w:eastAsia="zh-Hans"/>
        </w:rPr>
        <w:t>通知</w:t>
      </w:r>
      <w:r>
        <w:rPr>
          <w:rFonts w:hint="eastAsia" w:ascii="宋体" w:hAnsi="宋体" w:eastAsia="宋体" w:cs="宋体"/>
          <w:sz w:val="24"/>
          <w:szCs w:val="24"/>
          <w:lang w:eastAsia="zh-CN"/>
        </w:rPr>
        <w:t>临床时，操作人员可通过点击弹窗查看详细危急值信息。临床科室确认接收并完成危急值信息处理后，系统自动将危急值的处理措施和过程信息进行记录，实现危急值全过程管理流程闭环。</w:t>
      </w:r>
    </w:p>
    <w:p w14:paraId="4E28B749">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具备危急值设置按照标本种类、性别、年龄、临床诊断及科别等类型进行分类。</w:t>
      </w:r>
    </w:p>
    <w:p w14:paraId="303E905C">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1.1.3.4.</w:t>
      </w:r>
      <w:r>
        <w:rPr>
          <w:rFonts w:hint="eastAsia" w:ascii="宋体" w:hAnsi="宋体" w:eastAsia="宋体" w:cs="宋体"/>
          <w:sz w:val="24"/>
          <w:szCs w:val="24"/>
        </w:rPr>
        <w:t>检测方案管理</w:t>
      </w:r>
    </w:p>
    <w:p w14:paraId="219EC30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具备根据医嘱和标本种类实现鉴定路径</w:t>
      </w:r>
      <w:r>
        <w:rPr>
          <w:rFonts w:hint="eastAsia" w:ascii="宋体" w:hAnsi="宋体" w:eastAsia="宋体" w:cs="宋体"/>
          <w:sz w:val="24"/>
          <w:szCs w:val="24"/>
          <w:lang w:eastAsia="zh-Hans"/>
        </w:rPr>
        <w:t>配置</w:t>
      </w:r>
      <w:r>
        <w:rPr>
          <w:rFonts w:hint="eastAsia" w:ascii="宋体" w:hAnsi="宋体" w:eastAsia="宋体" w:cs="宋体"/>
          <w:sz w:val="24"/>
          <w:szCs w:val="24"/>
          <w:lang w:eastAsia="zh-CN"/>
        </w:rPr>
        <w:t>功能。</w:t>
      </w:r>
    </w:p>
    <w:p w14:paraId="34DA5E4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自动</w:t>
      </w:r>
      <w:r>
        <w:rPr>
          <w:rFonts w:hint="eastAsia" w:ascii="宋体" w:hAnsi="宋体" w:eastAsia="宋体" w:cs="宋体"/>
          <w:sz w:val="24"/>
          <w:szCs w:val="24"/>
          <w:lang w:eastAsia="zh-CN"/>
        </w:rPr>
        <w:t>生成培养记录功能。</w:t>
      </w:r>
    </w:p>
    <w:p w14:paraId="53C71406">
      <w:pPr>
        <w:pStyle w:val="7"/>
        <w:pageBreakBefore w:val="0"/>
        <w:numPr>
          <w:ilvl w:val="3"/>
          <w:numId w:val="0"/>
        </w:numPr>
        <w:wordWrap/>
        <w:overflowPunct/>
        <w:topLinePunct w:val="0"/>
        <w:bidi w:val="0"/>
        <w:snapToGrid w:val="0"/>
        <w:spacing w:before="0" w:after="0" w:line="360" w:lineRule="auto"/>
        <w:ind w:left="851" w:leftChars="0" w:hanging="851" w:firstLineChars="0"/>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1.1.3.5.</w:t>
      </w:r>
      <w:r>
        <w:rPr>
          <w:rFonts w:hint="eastAsia" w:ascii="宋体" w:hAnsi="宋体" w:eastAsia="宋体" w:cs="宋体"/>
          <w:sz w:val="24"/>
          <w:szCs w:val="24"/>
        </w:rPr>
        <w:t>WHONET互通管理</w:t>
      </w:r>
    </w:p>
    <w:p w14:paraId="6039E51D">
      <w:pPr>
        <w:pageBreakBefore w:val="0"/>
        <w:wordWrap/>
        <w:overflowPunct/>
        <w:topLinePunct w:val="0"/>
        <w:bidi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Hans"/>
        </w:rPr>
        <w:t>具备</w:t>
      </w:r>
      <w:r>
        <w:rPr>
          <w:rFonts w:hint="eastAsia" w:ascii="宋体" w:hAnsi="宋体" w:eastAsia="宋体" w:cs="宋体"/>
          <w:sz w:val="24"/>
          <w:szCs w:val="24"/>
        </w:rPr>
        <w:t>WHONET</w:t>
      </w:r>
      <w:r>
        <w:rPr>
          <w:rFonts w:hint="eastAsia" w:ascii="宋体" w:hAnsi="宋体" w:eastAsia="宋体" w:cs="宋体"/>
          <w:sz w:val="24"/>
          <w:szCs w:val="24"/>
          <w:lang w:eastAsia="zh-Hans"/>
        </w:rPr>
        <w:t>数据</w:t>
      </w:r>
      <w:r>
        <w:rPr>
          <w:rFonts w:hint="eastAsia" w:ascii="宋体" w:hAnsi="宋体" w:eastAsia="宋体" w:cs="宋体"/>
          <w:sz w:val="24"/>
          <w:szCs w:val="24"/>
        </w:rPr>
        <w:t>同步功能。</w:t>
      </w:r>
    </w:p>
    <w:p w14:paraId="5CE30F4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具备质控菌株、细菌字典维护、药敏字典维护、药敏折点维护</w:t>
      </w:r>
      <w:r>
        <w:rPr>
          <w:rFonts w:hint="eastAsia" w:ascii="宋体" w:hAnsi="宋体" w:eastAsia="宋体" w:cs="宋体"/>
          <w:sz w:val="24"/>
          <w:szCs w:val="24"/>
          <w:lang w:eastAsia="zh-Hans"/>
        </w:rPr>
        <w:t>功能。</w:t>
      </w:r>
    </w:p>
    <w:p w14:paraId="5A215E7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Hans"/>
        </w:rPr>
        <w:t>支持与</w:t>
      </w:r>
      <w:r>
        <w:rPr>
          <w:rFonts w:hint="eastAsia" w:ascii="宋体" w:hAnsi="宋体" w:eastAsia="宋体" w:cs="宋体"/>
          <w:sz w:val="24"/>
          <w:szCs w:val="24"/>
          <w:lang w:eastAsia="zh-CN"/>
        </w:rPr>
        <w:t>WHONET主流版本</w:t>
      </w:r>
      <w:r>
        <w:rPr>
          <w:rFonts w:hint="eastAsia" w:ascii="宋体" w:hAnsi="宋体" w:eastAsia="宋体" w:cs="宋体"/>
          <w:sz w:val="24"/>
          <w:szCs w:val="24"/>
          <w:lang w:eastAsia="zh-Hans"/>
        </w:rPr>
        <w:t>对接，保持系统与</w:t>
      </w:r>
      <w:r>
        <w:rPr>
          <w:rFonts w:hint="eastAsia" w:ascii="宋体" w:hAnsi="宋体" w:eastAsia="宋体" w:cs="宋体"/>
          <w:sz w:val="24"/>
          <w:szCs w:val="24"/>
          <w:lang w:eastAsia="zh-CN"/>
        </w:rPr>
        <w:t>WHONET</w:t>
      </w:r>
      <w:r>
        <w:rPr>
          <w:rFonts w:hint="eastAsia" w:ascii="宋体" w:hAnsi="宋体" w:eastAsia="宋体" w:cs="宋体"/>
          <w:sz w:val="24"/>
          <w:szCs w:val="24"/>
          <w:lang w:eastAsia="zh-Hans"/>
        </w:rPr>
        <w:t>数据标准一致，实现</w:t>
      </w:r>
      <w:r>
        <w:rPr>
          <w:rFonts w:hint="eastAsia" w:ascii="宋体" w:hAnsi="宋体" w:eastAsia="宋体" w:cs="宋体"/>
          <w:sz w:val="24"/>
          <w:szCs w:val="24"/>
          <w:lang w:eastAsia="zh-CN"/>
        </w:rPr>
        <w:t>病人信息、细菌信息、药敏信息</w:t>
      </w:r>
      <w:r>
        <w:rPr>
          <w:rFonts w:hint="eastAsia" w:ascii="宋体" w:hAnsi="宋体" w:eastAsia="宋体" w:cs="宋体"/>
          <w:sz w:val="24"/>
          <w:szCs w:val="24"/>
          <w:lang w:eastAsia="zh-Hans"/>
        </w:rPr>
        <w:t>导入</w:t>
      </w:r>
      <w:r>
        <w:rPr>
          <w:rFonts w:hint="eastAsia" w:ascii="宋体" w:hAnsi="宋体" w:eastAsia="宋体" w:cs="宋体"/>
          <w:sz w:val="24"/>
          <w:szCs w:val="24"/>
          <w:lang w:eastAsia="zh-CN"/>
        </w:rPr>
        <w:t>。</w:t>
      </w:r>
    </w:p>
    <w:p w14:paraId="6F9FD722">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1.1.3.6.</w:t>
      </w:r>
      <w:r>
        <w:rPr>
          <w:rFonts w:hint="eastAsia" w:ascii="宋体" w:hAnsi="宋体" w:eastAsia="宋体" w:cs="宋体"/>
          <w:sz w:val="24"/>
          <w:szCs w:val="24"/>
        </w:rPr>
        <w:t>耐药机制管理(超级细菌）</w:t>
      </w:r>
    </w:p>
    <w:p w14:paraId="677FA76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具备耐药机制</w:t>
      </w:r>
      <w:r>
        <w:rPr>
          <w:rFonts w:hint="eastAsia" w:ascii="宋体" w:hAnsi="宋体" w:eastAsia="宋体" w:cs="宋体"/>
          <w:sz w:val="24"/>
          <w:szCs w:val="24"/>
          <w:lang w:eastAsia="zh-Hans"/>
        </w:rPr>
        <w:t>设置</w:t>
      </w:r>
      <w:r>
        <w:rPr>
          <w:rFonts w:hint="eastAsia" w:ascii="宋体" w:hAnsi="宋体" w:eastAsia="宋体" w:cs="宋体"/>
          <w:sz w:val="24"/>
          <w:szCs w:val="24"/>
          <w:lang w:eastAsia="zh-CN"/>
        </w:rPr>
        <w:t>功能。</w:t>
      </w:r>
    </w:p>
    <w:p w14:paraId="2FBAA7F5">
      <w:pPr>
        <w:pageBreakBefore w:val="0"/>
        <w:wordWrap/>
        <w:overflowPunct/>
        <w:topLinePunct w:val="0"/>
        <w:bidi w:val="0"/>
        <w:snapToGrid w:val="0"/>
        <w:spacing w:line="360" w:lineRule="auto"/>
        <w:ind w:firstLine="480" w:firstLineChars="200"/>
        <w:rPr>
          <w:rFonts w:hint="eastAsia" w:ascii="宋体" w:hAnsi="宋体" w:eastAsia="宋体" w:cs="宋体"/>
          <w:color w:val="333333"/>
          <w:sz w:val="24"/>
          <w:szCs w:val="24"/>
          <w:shd w:val="clear" w:color="auto" w:fill="FFFFFF"/>
          <w:lang w:eastAsia="zh-CN"/>
        </w:rPr>
      </w:pPr>
      <w:r>
        <w:rPr>
          <w:rFonts w:hint="eastAsia" w:ascii="宋体" w:hAnsi="宋体" w:eastAsia="宋体" w:cs="宋体"/>
          <w:sz w:val="24"/>
          <w:szCs w:val="24"/>
          <w:lang w:eastAsia="zh-CN"/>
        </w:rPr>
        <w:t>具备耐药机制监控预警功能。</w:t>
      </w:r>
    </w:p>
    <w:p w14:paraId="5FFE34D9">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1.1.3.7.</w:t>
      </w:r>
      <w:r>
        <w:rPr>
          <w:rFonts w:hint="eastAsia" w:ascii="宋体" w:hAnsi="宋体" w:eastAsia="宋体" w:cs="宋体"/>
          <w:sz w:val="24"/>
          <w:szCs w:val="24"/>
        </w:rPr>
        <w:t>常规药敏统计/分析</w:t>
      </w:r>
    </w:p>
    <w:p w14:paraId="4DB0C12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微生物</w:t>
      </w:r>
      <w:r>
        <w:rPr>
          <w:rFonts w:hint="eastAsia" w:ascii="宋体" w:hAnsi="宋体" w:eastAsia="宋体" w:cs="宋体"/>
          <w:sz w:val="24"/>
          <w:szCs w:val="24"/>
          <w:lang w:eastAsia="zh-CN"/>
        </w:rPr>
        <w:t>报告</w:t>
      </w:r>
      <w:r>
        <w:rPr>
          <w:rFonts w:hint="eastAsia" w:ascii="宋体" w:hAnsi="宋体" w:eastAsia="宋体" w:cs="宋体"/>
          <w:sz w:val="24"/>
          <w:szCs w:val="24"/>
          <w:lang w:eastAsia="zh-Hans"/>
        </w:rPr>
        <w:t>常规</w:t>
      </w:r>
      <w:r>
        <w:rPr>
          <w:rFonts w:hint="eastAsia" w:ascii="宋体" w:hAnsi="宋体" w:eastAsia="宋体" w:cs="宋体"/>
          <w:sz w:val="24"/>
          <w:szCs w:val="24"/>
          <w:lang w:eastAsia="zh-CN"/>
        </w:rPr>
        <w:t>查询</w:t>
      </w:r>
      <w:r>
        <w:rPr>
          <w:rFonts w:hint="eastAsia" w:ascii="宋体" w:hAnsi="宋体" w:eastAsia="宋体" w:cs="宋体"/>
          <w:sz w:val="24"/>
          <w:szCs w:val="24"/>
          <w:lang w:eastAsia="zh-Hans"/>
        </w:rPr>
        <w:t>及高级查询</w:t>
      </w:r>
      <w:r>
        <w:rPr>
          <w:rFonts w:hint="eastAsia" w:ascii="宋体" w:hAnsi="宋体" w:eastAsia="宋体" w:cs="宋体"/>
          <w:sz w:val="24"/>
          <w:szCs w:val="24"/>
          <w:lang w:eastAsia="zh-CN"/>
        </w:rPr>
        <w:t>功能。</w:t>
      </w:r>
    </w:p>
    <w:p w14:paraId="119DC69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具备保存查询分析方案功能，下次使用查询时，无需重新选择查询条件即可进行查询。</w:t>
      </w:r>
    </w:p>
    <w:p w14:paraId="4F86F932">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1.1.3.8.</w:t>
      </w:r>
      <w:r>
        <w:rPr>
          <w:rFonts w:hint="eastAsia" w:ascii="宋体" w:hAnsi="宋体" w:eastAsia="宋体" w:cs="宋体"/>
          <w:sz w:val="24"/>
          <w:szCs w:val="24"/>
        </w:rPr>
        <w:t>实验流程电子化管理</w:t>
      </w:r>
    </w:p>
    <w:p w14:paraId="4C15C50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具备详细记录并管理微生物的接种培养、初步鉴定、鉴定/药敏、报告全过程功能。</w:t>
      </w:r>
    </w:p>
    <w:p w14:paraId="6BA0FA8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具备记录微生物实验的每个过程完整记录功能。</w:t>
      </w:r>
    </w:p>
    <w:p w14:paraId="30292DD5">
      <w:pPr>
        <w:pageBreakBefore w:val="0"/>
        <w:tabs>
          <w:tab w:val="left" w:pos="6343"/>
        </w:tabs>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具备培养、初鉴、鉴定</w:t>
      </w:r>
      <w:r>
        <w:rPr>
          <w:rFonts w:hint="eastAsia" w:ascii="宋体" w:hAnsi="宋体" w:eastAsia="宋体" w:cs="宋体"/>
          <w:sz w:val="24"/>
          <w:szCs w:val="24"/>
          <w:lang w:eastAsia="zh-Hans"/>
        </w:rPr>
        <w:t>独立报告审核发布功能</w:t>
      </w:r>
      <w:r>
        <w:rPr>
          <w:rFonts w:hint="eastAsia" w:ascii="宋体" w:hAnsi="宋体" w:eastAsia="宋体" w:cs="宋体"/>
          <w:sz w:val="24"/>
          <w:szCs w:val="24"/>
          <w:lang w:eastAsia="zh-CN"/>
        </w:rPr>
        <w:t>。</w:t>
      </w:r>
    </w:p>
    <w:p w14:paraId="636E06A1">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1.1.3.9.</w:t>
      </w:r>
      <w:r>
        <w:rPr>
          <w:rFonts w:hint="eastAsia" w:ascii="宋体" w:hAnsi="宋体" w:eastAsia="宋体" w:cs="宋体"/>
          <w:sz w:val="24"/>
          <w:szCs w:val="24"/>
        </w:rPr>
        <w:t>微生物质控</w:t>
      </w:r>
    </w:p>
    <w:p w14:paraId="02303FE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具备手工药敏质控、</w:t>
      </w:r>
      <w:r>
        <w:rPr>
          <w:rFonts w:hint="eastAsia" w:ascii="宋体" w:hAnsi="宋体" w:eastAsia="宋体" w:cs="宋体"/>
          <w:sz w:val="24"/>
          <w:szCs w:val="24"/>
          <w:lang w:eastAsia="zh-Hans"/>
        </w:rPr>
        <w:t>涂片质控、板条质控、</w:t>
      </w:r>
      <w:r>
        <w:rPr>
          <w:rFonts w:hint="eastAsia" w:ascii="宋体" w:hAnsi="宋体" w:eastAsia="宋体" w:cs="宋体"/>
          <w:sz w:val="24"/>
          <w:szCs w:val="24"/>
          <w:lang w:eastAsia="zh-CN"/>
        </w:rPr>
        <w:t>仪器药敏质控、手工生化反应质控、仪器生化反应质控、染色液质控功能。</w:t>
      </w:r>
    </w:p>
    <w:p w14:paraId="1312D2E0">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5" w:name="_Toc213686206"/>
      <w:r>
        <w:rPr>
          <w:rFonts w:hint="eastAsia" w:ascii="宋体" w:hAnsi="宋体" w:eastAsia="宋体" w:cs="宋体"/>
          <w:b/>
          <w:kern w:val="2"/>
          <w:sz w:val="24"/>
          <w:szCs w:val="24"/>
          <w:lang w:val="en-US" w:eastAsia="zh-CN" w:bidi="ar-SA"/>
        </w:rPr>
        <w:t>1.1.4.</w:t>
      </w:r>
      <w:r>
        <w:rPr>
          <w:rFonts w:hint="eastAsia" w:ascii="宋体" w:hAnsi="宋体" w:eastAsia="宋体" w:cs="宋体"/>
          <w:sz w:val="24"/>
          <w:szCs w:val="24"/>
        </w:rPr>
        <w:t>图文报告管理</w:t>
      </w:r>
      <w:bookmarkEnd w:id="5"/>
    </w:p>
    <w:p w14:paraId="13B4B781">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1.1.4.1.</w:t>
      </w:r>
      <w:r>
        <w:rPr>
          <w:rFonts w:hint="eastAsia" w:ascii="宋体" w:hAnsi="宋体" w:eastAsia="宋体" w:cs="宋体"/>
          <w:sz w:val="24"/>
          <w:szCs w:val="24"/>
        </w:rPr>
        <w:t>酶标仪报告管理</w:t>
      </w:r>
    </w:p>
    <w:p w14:paraId="2F20A1E2">
      <w:pPr>
        <w:pStyle w:val="10"/>
        <w:pageBreakBefore w:val="0"/>
        <w:wordWrap/>
        <w:overflowPunct/>
        <w:topLinePunct w:val="0"/>
        <w:bidi w:val="0"/>
        <w:snapToGrid w:val="0"/>
        <w:spacing w:after="0" w:line="360" w:lineRule="auto"/>
        <w:ind w:firstLine="0" w:firstLineChars="0"/>
        <w:rPr>
          <w:rFonts w:hint="eastAsia" w:ascii="宋体" w:hAnsi="宋体" w:eastAsia="宋体" w:cs="宋体"/>
          <w:b/>
          <w:bCs/>
          <w:color w:val="333333"/>
          <w:sz w:val="24"/>
          <w:szCs w:val="24"/>
          <w:shd w:val="clear" w:color="auto" w:fill="FFFFFF"/>
        </w:rPr>
      </w:pPr>
      <w:r>
        <w:rPr>
          <w:rFonts w:hint="eastAsia" w:ascii="宋体" w:hAnsi="宋体" w:eastAsia="宋体" w:cs="宋体"/>
          <w:b/>
          <w:bCs/>
          <w:color w:val="333333"/>
          <w:sz w:val="24"/>
          <w:szCs w:val="24"/>
          <w:shd w:val="clear" w:color="auto" w:fill="FFFFFF"/>
        </w:rPr>
        <w:t>酶标仪器布局</w:t>
      </w:r>
    </w:p>
    <w:p w14:paraId="370CACF1">
      <w:pPr>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酶标仪设置</w:t>
      </w:r>
    </w:p>
    <w:p w14:paraId="161DD15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具备按照酶标板的布局格式，单个或批量设置检验项目和样本类型功能。</w:t>
      </w:r>
    </w:p>
    <w:p w14:paraId="565A029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具备为不同检验项目设定其阴阳性判定计算规则功能。</w:t>
      </w:r>
    </w:p>
    <w:p w14:paraId="1737DD3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具备为定量检验项目设定计算转换公式功能。</w:t>
      </w:r>
    </w:p>
    <w:p w14:paraId="76897AC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具备设置酶标仪的测量参数功能，包括：进板方式、振板频率、振板时间、主次波长滤光片。</w:t>
      </w:r>
    </w:p>
    <w:p w14:paraId="14E3F8C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具备设置检验结果的后续处理方法功能：包括计算CUTOFF值、采用吸光度。</w:t>
      </w:r>
    </w:p>
    <w:p w14:paraId="62A275B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具备导出和导入酶标板的参数文件功能。</w:t>
      </w:r>
    </w:p>
    <w:p w14:paraId="50B6AD5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具备可按照酶标板仿真布局，能够录入或采集检验数据，确定CUTOFF值，自动进行阴阳性判断功能。</w:t>
      </w:r>
    </w:p>
    <w:p w14:paraId="5C8A621C">
      <w:pPr>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酶标仪检验</w:t>
      </w:r>
    </w:p>
    <w:p w14:paraId="5610780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具备对控制仪器进行检验，检验结果会自动传到原始数据区功能。</w:t>
      </w:r>
    </w:p>
    <w:p w14:paraId="51C7778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具备自动判定检验结果的阴阳性，并在计算结果区显示功能。</w:t>
      </w:r>
    </w:p>
    <w:p w14:paraId="0F83F58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具备将本次的检验结果保存成一个Excel文件功能，包含：原始数据，吸光度值，定性结果。</w:t>
      </w:r>
    </w:p>
    <w:p w14:paraId="7BA93D71">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1.1.4.2.</w:t>
      </w:r>
      <w:r>
        <w:rPr>
          <w:rFonts w:hint="eastAsia" w:ascii="宋体" w:hAnsi="宋体" w:eastAsia="宋体" w:cs="宋体"/>
          <w:sz w:val="24"/>
          <w:szCs w:val="24"/>
        </w:rPr>
        <w:t>骨髓报告管理</w:t>
      </w:r>
    </w:p>
    <w:p w14:paraId="016380A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具备图文报告分析过程中提供详细分析提示功能。</w:t>
      </w:r>
    </w:p>
    <w:p w14:paraId="4C31074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具备半自动分类计数和自动计算功能相结合功能。</w:t>
      </w:r>
    </w:p>
    <w:p w14:paraId="11D5C7BD">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6" w:name="_Toc213686207"/>
      <w:r>
        <w:rPr>
          <w:rFonts w:hint="eastAsia" w:ascii="宋体" w:hAnsi="宋体" w:eastAsia="宋体" w:cs="宋体"/>
          <w:b/>
          <w:kern w:val="2"/>
          <w:sz w:val="24"/>
          <w:szCs w:val="24"/>
          <w:lang w:val="en-US" w:eastAsia="zh-CN" w:bidi="ar-SA"/>
        </w:rPr>
        <w:t>1.1.5.</w:t>
      </w:r>
      <w:r>
        <w:rPr>
          <w:rFonts w:hint="eastAsia" w:ascii="宋体" w:hAnsi="宋体" w:eastAsia="宋体" w:cs="宋体"/>
          <w:sz w:val="24"/>
          <w:szCs w:val="24"/>
        </w:rPr>
        <w:t>自动审核管理</w:t>
      </w:r>
      <w:bookmarkEnd w:id="6"/>
    </w:p>
    <w:p w14:paraId="1771E36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异常值验证、历史差值、结果区间及标识、仪器报警提示、逻辑验证五大规则</w:t>
      </w:r>
      <w:r>
        <w:rPr>
          <w:rFonts w:hint="eastAsia" w:ascii="宋体" w:hAnsi="宋体" w:eastAsia="宋体" w:cs="宋体"/>
          <w:sz w:val="24"/>
          <w:szCs w:val="24"/>
          <w:lang w:eastAsia="zh-CN"/>
        </w:rPr>
        <w:t>设置功能。</w:t>
      </w:r>
    </w:p>
    <w:p w14:paraId="650FF54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eastAsia="zh-Hans"/>
        </w:rPr>
        <w:t>具备自动判断危急值提醒功能。</w:t>
      </w:r>
    </w:p>
    <w:p w14:paraId="07D978E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具备自动审核参考值</w:t>
      </w:r>
      <w:r>
        <w:rPr>
          <w:rFonts w:hint="eastAsia" w:ascii="宋体" w:hAnsi="宋体" w:eastAsia="宋体" w:cs="宋体"/>
          <w:sz w:val="24"/>
          <w:szCs w:val="24"/>
          <w:lang w:eastAsia="zh-Hans"/>
        </w:rPr>
        <w:t>配置</w:t>
      </w:r>
      <w:r>
        <w:rPr>
          <w:rFonts w:hint="eastAsia" w:ascii="宋体" w:hAnsi="宋体" w:eastAsia="宋体" w:cs="宋体"/>
          <w:sz w:val="24"/>
          <w:szCs w:val="24"/>
          <w:lang w:eastAsia="zh-CN"/>
        </w:rPr>
        <w:t>功能，参考值</w:t>
      </w:r>
      <w:r>
        <w:rPr>
          <w:rFonts w:hint="eastAsia" w:ascii="宋体" w:hAnsi="宋体" w:eastAsia="宋体" w:cs="宋体"/>
          <w:sz w:val="24"/>
          <w:szCs w:val="24"/>
          <w:lang w:eastAsia="zh-Hans"/>
        </w:rPr>
        <w:t>配置条件包含</w:t>
      </w:r>
      <w:r>
        <w:rPr>
          <w:rFonts w:hint="eastAsia" w:ascii="宋体" w:hAnsi="宋体" w:eastAsia="宋体" w:cs="宋体"/>
          <w:sz w:val="24"/>
          <w:szCs w:val="24"/>
          <w:lang w:eastAsia="zh-CN"/>
        </w:rPr>
        <w:t>性别、标本种类、年龄</w:t>
      </w:r>
      <w:r>
        <w:rPr>
          <w:rFonts w:hint="eastAsia" w:ascii="宋体" w:hAnsi="宋体" w:eastAsia="宋体" w:cs="宋体"/>
          <w:sz w:val="24"/>
          <w:szCs w:val="24"/>
          <w:lang w:eastAsia="zh-Hans"/>
        </w:rPr>
        <w:t>和特殊生理指征等</w:t>
      </w:r>
      <w:r>
        <w:rPr>
          <w:rFonts w:hint="eastAsia" w:ascii="宋体" w:hAnsi="宋体" w:eastAsia="宋体" w:cs="宋体"/>
          <w:sz w:val="24"/>
          <w:szCs w:val="24"/>
          <w:lang w:eastAsia="zh-CN"/>
        </w:rPr>
        <w:t>，年龄</w:t>
      </w:r>
      <w:r>
        <w:rPr>
          <w:rFonts w:hint="eastAsia" w:ascii="宋体" w:hAnsi="宋体" w:eastAsia="宋体" w:cs="宋体"/>
          <w:sz w:val="24"/>
          <w:szCs w:val="24"/>
          <w:lang w:eastAsia="zh-Hans"/>
        </w:rPr>
        <w:t>设置可细化到</w:t>
      </w:r>
      <w:r>
        <w:rPr>
          <w:rFonts w:hint="eastAsia" w:ascii="宋体" w:hAnsi="宋体" w:eastAsia="宋体" w:cs="宋体"/>
          <w:sz w:val="24"/>
          <w:szCs w:val="24"/>
          <w:lang w:eastAsia="zh-CN"/>
        </w:rPr>
        <w:t>岁、月、天、小时、</w:t>
      </w:r>
      <w:r>
        <w:rPr>
          <w:rFonts w:hint="eastAsia" w:ascii="宋体" w:hAnsi="宋体" w:eastAsia="宋体" w:cs="宋体"/>
          <w:sz w:val="24"/>
          <w:szCs w:val="24"/>
          <w:lang w:eastAsia="zh-Hans"/>
        </w:rPr>
        <w:t>分钟</w:t>
      </w:r>
      <w:r>
        <w:rPr>
          <w:rFonts w:hint="eastAsia" w:ascii="宋体" w:hAnsi="宋体" w:eastAsia="宋体" w:cs="宋体"/>
          <w:sz w:val="24"/>
          <w:szCs w:val="24"/>
          <w:lang w:eastAsia="zh-CN"/>
        </w:rPr>
        <w:t>。</w:t>
      </w:r>
    </w:p>
    <w:p w14:paraId="2FC898D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自动匹配参考值进行判断并标记或颜色提示功能。</w:t>
      </w:r>
    </w:p>
    <w:p w14:paraId="1C17F16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已设定</w:t>
      </w:r>
      <w:r>
        <w:rPr>
          <w:rFonts w:hint="eastAsia" w:ascii="宋体" w:hAnsi="宋体" w:eastAsia="宋体" w:cs="宋体"/>
          <w:sz w:val="24"/>
          <w:szCs w:val="24"/>
          <w:lang w:eastAsia="zh-CN"/>
        </w:rPr>
        <w:t>固定值</w:t>
      </w:r>
      <w:r>
        <w:rPr>
          <w:rFonts w:hint="eastAsia" w:ascii="宋体" w:hAnsi="宋体" w:eastAsia="宋体" w:cs="宋体"/>
          <w:sz w:val="24"/>
          <w:szCs w:val="24"/>
          <w:lang w:eastAsia="zh-Hans"/>
        </w:rPr>
        <w:t>或相关性</w:t>
      </w:r>
      <w:r>
        <w:rPr>
          <w:rFonts w:hint="eastAsia" w:ascii="宋体" w:hAnsi="宋体" w:eastAsia="宋体" w:cs="宋体"/>
          <w:sz w:val="24"/>
          <w:szCs w:val="24"/>
          <w:lang w:eastAsia="zh-CN"/>
        </w:rPr>
        <w:t>的项目自动比较审核功能。</w:t>
      </w:r>
    </w:p>
    <w:p w14:paraId="46A9A5D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具备批量审核报告功能。</w:t>
      </w:r>
    </w:p>
    <w:p w14:paraId="477523CF">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7" w:name="_Toc213686208"/>
      <w:r>
        <w:rPr>
          <w:rFonts w:hint="eastAsia" w:ascii="宋体" w:hAnsi="宋体" w:eastAsia="宋体" w:cs="宋体"/>
          <w:b/>
          <w:kern w:val="2"/>
          <w:sz w:val="24"/>
          <w:szCs w:val="24"/>
          <w:lang w:val="en-US" w:eastAsia="zh-CN" w:bidi="ar-SA"/>
        </w:rPr>
        <w:t>1.1.6.</w:t>
      </w:r>
      <w:r>
        <w:rPr>
          <w:rFonts w:hint="eastAsia" w:ascii="宋体" w:hAnsi="宋体" w:eastAsia="宋体" w:cs="宋体"/>
          <w:sz w:val="24"/>
          <w:szCs w:val="24"/>
        </w:rPr>
        <w:t>消息提醒平台</w:t>
      </w:r>
      <w:bookmarkEnd w:id="7"/>
    </w:p>
    <w:p w14:paraId="48743B6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消息中心提供多种消息提醒交互，包括内部公告通知、危急值提醒交互、试剂库存效期提醒、不合格标本提醒、TAT监控提醒等。</w:t>
      </w:r>
    </w:p>
    <w:p w14:paraId="2F15875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在与短信平台或微信公众号对接的情况下，危急值还可以以微信、短信的形式推送。</w:t>
      </w:r>
    </w:p>
    <w:p w14:paraId="3B3A43A9">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8" w:name="_Toc213686209"/>
      <w:r>
        <w:rPr>
          <w:rFonts w:hint="eastAsia" w:ascii="宋体" w:hAnsi="宋体" w:eastAsia="宋体" w:cs="宋体"/>
          <w:b/>
          <w:kern w:val="2"/>
          <w:sz w:val="24"/>
          <w:szCs w:val="24"/>
          <w:lang w:val="en-US" w:eastAsia="zh-CN" w:bidi="ar-SA"/>
        </w:rPr>
        <w:t>1.1.7.</w:t>
      </w:r>
      <w:r>
        <w:rPr>
          <w:rFonts w:hint="eastAsia" w:ascii="宋体" w:hAnsi="宋体" w:eastAsia="宋体" w:cs="宋体"/>
          <w:sz w:val="24"/>
          <w:szCs w:val="24"/>
        </w:rPr>
        <w:t>抽血排队叫号</w:t>
      </w:r>
      <w:bookmarkEnd w:id="8"/>
    </w:p>
    <w:p w14:paraId="22DAF27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具备配置分诊叫号系统功能，实现标本采集的叫号操作，最大限度减少排队等待时间。</w:t>
      </w:r>
    </w:p>
    <w:p w14:paraId="3AE7BFE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具备根据医院需要集成抽血排队叫号系统功能。</w:t>
      </w:r>
    </w:p>
    <w:p w14:paraId="2646112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具备病人通过触摸屏自助终端拿号、查询排队信息，按照检验类别分列排队功能。</w:t>
      </w:r>
    </w:p>
    <w:p w14:paraId="6AB7141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支持连接排队大屏幕发布候诊信息、语音呼叫候诊病人功能。</w:t>
      </w:r>
    </w:p>
    <w:p w14:paraId="5420C02C">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9" w:name="_Toc213686210"/>
      <w:r>
        <w:rPr>
          <w:rFonts w:hint="eastAsia" w:ascii="宋体" w:hAnsi="宋体" w:eastAsia="宋体" w:cs="宋体"/>
          <w:b/>
          <w:kern w:val="2"/>
          <w:sz w:val="24"/>
          <w:szCs w:val="24"/>
          <w:lang w:val="en-US" w:eastAsia="zh-CN" w:bidi="ar-SA"/>
        </w:rPr>
        <w:t>1.1.8.</w:t>
      </w:r>
      <w:r>
        <w:rPr>
          <w:rFonts w:hint="eastAsia" w:ascii="宋体" w:hAnsi="宋体" w:eastAsia="宋体" w:cs="宋体"/>
          <w:sz w:val="24"/>
          <w:szCs w:val="24"/>
        </w:rPr>
        <w:t>科室管理</w:t>
      </w:r>
      <w:bookmarkEnd w:id="9"/>
    </w:p>
    <w:p w14:paraId="545CECDB">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1.1.8.1.</w:t>
      </w:r>
      <w:r>
        <w:rPr>
          <w:rFonts w:hint="eastAsia" w:ascii="宋体" w:hAnsi="宋体" w:eastAsia="宋体" w:cs="宋体"/>
          <w:sz w:val="24"/>
          <w:szCs w:val="24"/>
        </w:rPr>
        <w:t>实验室质控指标分析</w:t>
      </w:r>
    </w:p>
    <w:p w14:paraId="5A76544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具备实验室质量控制指标管理统计功能，具体指标包括：</w:t>
      </w:r>
    </w:p>
    <w:p w14:paraId="3FC881B2">
      <w:pPr>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检验前质量指标</w:t>
      </w:r>
    </w:p>
    <w:p w14:paraId="4D90123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标本标签不合格率：以标本接收日期为时间节点，统计该日期范围内标签不符合要求的标本数占同期标本总数的比例。</w:t>
      </w:r>
    </w:p>
    <w:p w14:paraId="619727A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标本类型错误率：以标本接收日期为时间节点，统计该日期范围内类型不符合要求的标本数占同期标本总数的比例。</w:t>
      </w:r>
    </w:p>
    <w:p w14:paraId="1B3F6AA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标本容器错误率：以标本接收日期为时间节点，统计该日期范围内采集容器不符合要求的标本数占同期标本总数的比例。 </w:t>
      </w:r>
    </w:p>
    <w:p w14:paraId="7DEE5DF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标本量不正确率：以标本接收日期为时间节点，统计该日期范围内标本采集量不符合要求的标本数占同期标本总数的比例。 </w:t>
      </w:r>
    </w:p>
    <w:p w14:paraId="3885BC7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标本采集时机不正确率：以标本接收日期为时间节点，统计该日期范围内标本采集时机不符合要求的标本数占同期标本总数的比例。 </w:t>
      </w:r>
    </w:p>
    <w:p w14:paraId="2620A81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血培养污染率：以标本接收日期为时间节点，统计该日期范围内污染的血培养标本数占同期血培养标本总数的比例。标本接收日期为时间节点，统计该日期围内污染的血培养标本数占同期血培养标本总标本运输丢失率：以标本接收日期为时间节点，统计该日期范围内运输途中丢失的标本数占同期运输标本总数的比例。 </w:t>
      </w:r>
    </w:p>
    <w:p w14:paraId="0524551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标本运输时间不当率：以标本接收日期为时间节点，统计该日期范围内运输时间不当的标本数占同期运输标本总数的比例。 </w:t>
      </w:r>
    </w:p>
    <w:p w14:paraId="11A1679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标本运输温度不当率：以标本接收日期为时间节点，统计该日期范围内运输温度不当的标本数占同期运输标本总数的比例。 </w:t>
      </w:r>
    </w:p>
    <w:p w14:paraId="1EAD2BA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抗凝标本凝集率：以标本接收日期为时间节点，统计该日期范围内凝集的标本数占同期需抗凝的标本总数的比例。 </w:t>
      </w:r>
    </w:p>
    <w:p w14:paraId="028FB20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标本溶血率：以标本接收日期为时间节点，统计该日期范围内溶血的标本数占同期标本总数的比例。 </w:t>
      </w:r>
    </w:p>
    <w:p w14:paraId="1C0D2BE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检验前周转时间（中位数）：检验前周转时间是指从标本采集到实验室接收标本的时间（以分钟为单位）。检验前周转时间中位数，是指将检验前周转时间由长到短排序后取其中位数。 </w:t>
      </w:r>
    </w:p>
    <w:p w14:paraId="17B01F22">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检验前周转时间（第90%）：检验前周转时间90%位数，是指将检验前周转时间由长到短排序后取其第90%次序的数值。</w:t>
      </w:r>
    </w:p>
    <w:p w14:paraId="714E0C16">
      <w:pPr>
        <w:pageBreakBefore w:val="0"/>
        <w:widowControl w:val="0"/>
        <w:numPr>
          <w:ilvl w:val="0"/>
          <w:numId w:val="0"/>
        </w:numPr>
        <w:kinsoku/>
        <w:wordWrap/>
        <w:overflowPunct/>
        <w:topLinePunct w:val="0"/>
        <w:autoSpaceDE/>
        <w:autoSpaceDN/>
        <w:bidi w:val="0"/>
        <w:adjustRightInd/>
        <w:snapToGrid w:val="0"/>
        <w:spacing w:line="360" w:lineRule="auto"/>
        <w:ind w:lef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检验中质量指标</w:t>
      </w:r>
    </w:p>
    <w:p w14:paraId="083C82F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分析设备故障数：每年分析设备故障导致检验报告延迟的次数。</w:t>
      </w:r>
    </w:p>
    <w:p w14:paraId="5D13C12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实验室信息系统（LIS）故障数：每年LIS故障导致检验报告延迟的次数。</w:t>
      </w:r>
    </w:p>
    <w:p w14:paraId="00C2950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LIS传输准确性验证符合率：LIS传输准确性验证符合率占LIS传输结果总数的比例。</w:t>
      </w:r>
    </w:p>
    <w:p w14:paraId="717CC09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室内质控项目开展率：开展室内质控的检验项目数占同期检验项目总数的比例。</w:t>
      </w:r>
    </w:p>
    <w:p w14:paraId="3F3DD66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室内质控项目变异系数不合格率：室内质控项目变异系数高于要求的检验项目数占同期对室内质控项目变异系数有要求的检验项目总数的比例。</w:t>
      </w:r>
    </w:p>
    <w:p w14:paraId="069AF11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）检验后质量指标</w:t>
      </w:r>
    </w:p>
    <w:p w14:paraId="2BB968F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实验室内周转时间（中位数）：实验室内周转时间是指从实验室收到标本到发送报告的时间（以分钟为单位）。实验室内周转时间中位数，是指将实验室内周转时间由长到短排序后取其中位数。 </w:t>
      </w:r>
    </w:p>
    <w:p w14:paraId="25CB201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实验室内周转时间（第90%）：实验室内周转时间90%中位数，是指将实验室内周转时间由长到短排序后取其第90%次序的数值。 </w:t>
      </w:r>
    </w:p>
    <w:p w14:paraId="579E108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检验报告错误率：检验报告不正确是指实验室已发出的报告，其内容与实际情况不相符，包括结果不正确、患者信息不正确、标本信息不正确等。检验报告不正确率是指实验室发出的不正确检验报告数占同期检验报告总数的比例。 </w:t>
      </w:r>
    </w:p>
    <w:p w14:paraId="017F9EC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报告召回率：指召回的报告数占报告总数的比例。 </w:t>
      </w:r>
    </w:p>
    <w:p w14:paraId="7DB9AA5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 xml:space="preserve">危急值通报率：危急值是指除外检查仪器或试剂等技术原因出现的表明患者可能正处于生命危险的边缘状态，必须立刻进行记录并第一时间报告给该患者主管医师的检验结果。危急值通报率是指已通报的危急值检验项目数占同期需要通报的危急值检验项目总数的比例。 </w:t>
      </w:r>
    </w:p>
    <w:p w14:paraId="4A667D1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危急值通报及时率：危急值通报时间（从结果确认到与临床医生交流的时间）符合规定时间的检验项目数占同期需要危急值通报的检验项目总数的比例。</w:t>
      </w:r>
    </w:p>
    <w:p w14:paraId="68EA60C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）过程质量指标</w:t>
      </w:r>
    </w:p>
    <w:p w14:paraId="6C9E70F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医护满意度：对实验室各项服务内容满意的医生或者护士人数占调查医生或者护士总人数的百分率。</w:t>
      </w:r>
    </w:p>
    <w:p w14:paraId="3F60DFB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患者满意度：对实验室各项服务内容满意的患者数占调查患者总数的百分率。</w:t>
      </w:r>
    </w:p>
    <w:p w14:paraId="2AB90E2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实验室投诉数：实验室收到的投诉数。</w:t>
      </w:r>
    </w:p>
    <w:p w14:paraId="4D29B07C">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1.1.8.2.</w:t>
      </w:r>
      <w:r>
        <w:rPr>
          <w:rFonts w:hint="eastAsia" w:ascii="宋体" w:hAnsi="宋体" w:eastAsia="宋体" w:cs="宋体"/>
          <w:sz w:val="24"/>
          <w:szCs w:val="24"/>
        </w:rPr>
        <w:t>检验科数据BI分析</w:t>
      </w:r>
    </w:p>
    <w:p w14:paraId="1E33E2F5">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具备检验科室标本签收量动态数据展示功能，可对当日数据进行动态展示，昨日数据查看，包括柱状图、饼状图、折线图展示。</w:t>
      </w:r>
    </w:p>
    <w:p w14:paraId="4C1B204E">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具备检验科室危急值报告数动态数据展示功能，可对当日数据进行动态展示，昨日数据查看，包括柱状图、饼状图、折线图展示。</w:t>
      </w:r>
    </w:p>
    <w:p w14:paraId="64EF8FDC">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具备检验科室报告发布量动态数据展示功能，可对当日数据进行动态展示，昨日数据查看，包括柱状图、饼状图、折线图展示。</w:t>
      </w:r>
    </w:p>
    <w:p w14:paraId="5CF36588">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具备检验科室门诊化验费动态数据展示功能，可对当日数据进行动态展示，昨日数据查看，包括柱状图、饼状图、折线图展示。</w:t>
      </w:r>
    </w:p>
    <w:p w14:paraId="3D69A83A">
      <w:pPr>
        <w:pStyle w:val="10"/>
        <w:pageBreakBefore w:val="0"/>
        <w:wordWrap/>
        <w:overflowPunct/>
        <w:topLinePunct w:val="0"/>
        <w:bidi w:val="0"/>
        <w:snapToGrid w:val="0"/>
        <w:spacing w:after="0" w:line="360" w:lineRule="auto"/>
        <w:ind w:left="0" w:leftChars="0"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具备检验科室住院化验费动态数据展示功能，可对当日数据进行动态展示，昨日数据查看，包括柱状图、饼状图、折线图展示。</w:t>
      </w:r>
    </w:p>
    <w:p w14:paraId="460A1D7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具备数据以Excel文件导出功能。</w:t>
      </w:r>
    </w:p>
    <w:p w14:paraId="421239E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具备数据下钻功能，能够按照业务场景、业务类型进行不同展示。</w:t>
      </w:r>
    </w:p>
    <w:p w14:paraId="02B81F1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具备同一类型数据，不同时期数据在同一展示框内显示功能。</w:t>
      </w:r>
    </w:p>
    <w:p w14:paraId="7F58E69F">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1.1.8.3.</w:t>
      </w:r>
      <w:r>
        <w:rPr>
          <w:rFonts w:hint="eastAsia" w:ascii="宋体" w:hAnsi="宋体" w:eastAsia="宋体" w:cs="宋体"/>
          <w:sz w:val="24"/>
          <w:szCs w:val="24"/>
        </w:rPr>
        <w:t>试剂耗材管理</w:t>
      </w:r>
    </w:p>
    <w:p w14:paraId="2DBB13D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具备试剂及消耗品</w:t>
      </w:r>
      <w:r>
        <w:rPr>
          <w:rFonts w:hint="eastAsia" w:ascii="宋体" w:hAnsi="宋体" w:eastAsia="宋体" w:cs="宋体"/>
          <w:sz w:val="24"/>
          <w:szCs w:val="24"/>
          <w:lang w:eastAsia="zh-Hans"/>
        </w:rPr>
        <w:t>信息</w:t>
      </w:r>
      <w:r>
        <w:rPr>
          <w:rFonts w:hint="eastAsia" w:ascii="宋体" w:hAnsi="宋体" w:eastAsia="宋体" w:cs="宋体"/>
          <w:sz w:val="24"/>
          <w:szCs w:val="24"/>
          <w:lang w:eastAsia="zh-CN"/>
        </w:rPr>
        <w:t>管理功能，包括：厂家资料、产品介绍、使用情况、进货、库存、发票</w:t>
      </w:r>
      <w:r>
        <w:rPr>
          <w:rFonts w:hint="eastAsia" w:ascii="宋体" w:hAnsi="宋体" w:eastAsia="宋体" w:cs="宋体"/>
          <w:sz w:val="24"/>
          <w:szCs w:val="24"/>
          <w:lang w:eastAsia="zh-Hans"/>
        </w:rPr>
        <w:t>等。</w:t>
      </w:r>
    </w:p>
    <w:p w14:paraId="605A18E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入库试剂信息</w:t>
      </w:r>
      <w:r>
        <w:rPr>
          <w:rFonts w:hint="eastAsia" w:ascii="宋体" w:hAnsi="宋体" w:eastAsia="宋体" w:cs="宋体"/>
          <w:sz w:val="24"/>
          <w:szCs w:val="24"/>
          <w:lang w:eastAsia="zh-CN"/>
        </w:rPr>
        <w:t>登记功能，包括：包装规格、单位、价格、失效日期、采购金额、存贮货位信息</w:t>
      </w:r>
      <w:r>
        <w:rPr>
          <w:rFonts w:hint="eastAsia" w:ascii="宋体" w:hAnsi="宋体" w:eastAsia="宋体" w:cs="宋体"/>
          <w:sz w:val="24"/>
          <w:szCs w:val="24"/>
          <w:lang w:eastAsia="zh-Hans"/>
        </w:rPr>
        <w:t>等</w:t>
      </w:r>
      <w:r>
        <w:rPr>
          <w:rFonts w:hint="eastAsia" w:ascii="宋体" w:hAnsi="宋体" w:eastAsia="宋体" w:cs="宋体"/>
          <w:sz w:val="24"/>
          <w:szCs w:val="24"/>
          <w:lang w:eastAsia="zh-CN"/>
        </w:rPr>
        <w:t>。</w:t>
      </w:r>
    </w:p>
    <w:p w14:paraId="2010A01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出库试剂信息登记功能，包括</w:t>
      </w:r>
      <w:r>
        <w:rPr>
          <w:rFonts w:hint="eastAsia" w:ascii="宋体" w:hAnsi="宋体" w:eastAsia="宋体" w:cs="宋体"/>
          <w:sz w:val="24"/>
          <w:szCs w:val="24"/>
          <w:lang w:eastAsia="zh-CN"/>
        </w:rPr>
        <w:t>试剂清单、使用单位、出库量、成本信息功能</w:t>
      </w:r>
      <w:r>
        <w:rPr>
          <w:rFonts w:hint="eastAsia" w:ascii="宋体" w:hAnsi="宋体" w:eastAsia="宋体" w:cs="宋体"/>
          <w:sz w:val="24"/>
          <w:szCs w:val="24"/>
          <w:lang w:eastAsia="zh-Hans"/>
        </w:rPr>
        <w:t>等</w:t>
      </w:r>
      <w:r>
        <w:rPr>
          <w:rFonts w:hint="eastAsia" w:ascii="宋体" w:hAnsi="宋体" w:eastAsia="宋体" w:cs="宋体"/>
          <w:sz w:val="24"/>
          <w:szCs w:val="24"/>
          <w:lang w:eastAsia="zh-CN"/>
        </w:rPr>
        <w:t>。</w:t>
      </w:r>
    </w:p>
    <w:p w14:paraId="46068C1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按照多种</w:t>
      </w:r>
      <w:r>
        <w:rPr>
          <w:rFonts w:hint="eastAsia" w:ascii="宋体" w:hAnsi="宋体" w:eastAsia="宋体" w:cs="宋体"/>
          <w:sz w:val="24"/>
          <w:szCs w:val="24"/>
          <w:lang w:eastAsia="zh-CN"/>
        </w:rPr>
        <w:t>包装规格</w:t>
      </w:r>
      <w:r>
        <w:rPr>
          <w:rFonts w:hint="eastAsia" w:ascii="宋体" w:hAnsi="宋体" w:eastAsia="宋体" w:cs="宋体"/>
          <w:sz w:val="24"/>
          <w:szCs w:val="24"/>
          <w:lang w:eastAsia="zh-Hans"/>
        </w:rPr>
        <w:t>出入</w:t>
      </w:r>
      <w:r>
        <w:rPr>
          <w:rFonts w:hint="eastAsia" w:ascii="宋体" w:hAnsi="宋体" w:eastAsia="宋体" w:cs="宋体"/>
          <w:sz w:val="24"/>
          <w:szCs w:val="24"/>
          <w:lang w:eastAsia="zh-CN"/>
        </w:rPr>
        <w:t>库</w:t>
      </w:r>
      <w:r>
        <w:rPr>
          <w:rFonts w:hint="eastAsia" w:ascii="宋体" w:hAnsi="宋体" w:eastAsia="宋体" w:cs="宋体"/>
          <w:sz w:val="24"/>
          <w:szCs w:val="24"/>
          <w:lang w:eastAsia="zh-Hans"/>
        </w:rPr>
        <w:t>管理</w:t>
      </w:r>
      <w:r>
        <w:rPr>
          <w:rFonts w:hint="eastAsia" w:ascii="宋体" w:hAnsi="宋体" w:eastAsia="宋体" w:cs="宋体"/>
          <w:sz w:val="24"/>
          <w:szCs w:val="24"/>
          <w:lang w:eastAsia="zh-CN"/>
        </w:rPr>
        <w:t>功能。</w:t>
      </w:r>
    </w:p>
    <w:p w14:paraId="6B16AD1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具备库存查询功能。</w:t>
      </w:r>
    </w:p>
    <w:p w14:paraId="0C1B613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eastAsia="zh-Hans"/>
        </w:rPr>
        <w:t>具备库存量设限功能，低于设限值时自动预警提醒。</w:t>
      </w:r>
    </w:p>
    <w:p w14:paraId="4CDE82D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Hans"/>
        </w:rPr>
        <w:t>具备试剂过期自动提醒功能。</w:t>
      </w:r>
    </w:p>
    <w:p w14:paraId="2069817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具备试剂的进、支、存、报损、盘盈、盘亏情况</w:t>
      </w:r>
      <w:r>
        <w:rPr>
          <w:rFonts w:hint="eastAsia" w:ascii="宋体" w:hAnsi="宋体" w:eastAsia="宋体" w:cs="宋体"/>
          <w:sz w:val="24"/>
          <w:szCs w:val="24"/>
          <w:lang w:eastAsia="zh-Hans"/>
        </w:rPr>
        <w:t>统计</w:t>
      </w:r>
      <w:r>
        <w:rPr>
          <w:rFonts w:hint="eastAsia" w:ascii="宋体" w:hAnsi="宋体" w:eastAsia="宋体" w:cs="宋体"/>
          <w:sz w:val="24"/>
          <w:szCs w:val="24"/>
          <w:lang w:eastAsia="zh-CN"/>
        </w:rPr>
        <w:t>功能。</w:t>
      </w:r>
    </w:p>
    <w:p w14:paraId="6060ECC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过期试剂、库存、证件有效期、开瓶有效期、批号更换次数</w:t>
      </w:r>
      <w:r>
        <w:rPr>
          <w:rFonts w:hint="eastAsia" w:ascii="宋体" w:hAnsi="宋体" w:eastAsia="宋体" w:cs="宋体"/>
          <w:sz w:val="24"/>
          <w:szCs w:val="24"/>
          <w:lang w:eastAsia="zh-CN"/>
        </w:rPr>
        <w:t>统计分析</w:t>
      </w:r>
      <w:r>
        <w:rPr>
          <w:rFonts w:hint="eastAsia" w:ascii="宋体" w:hAnsi="宋体" w:eastAsia="宋体" w:cs="宋体"/>
          <w:sz w:val="24"/>
          <w:szCs w:val="24"/>
          <w:lang w:eastAsia="zh-Hans"/>
        </w:rPr>
        <w:t>功能。</w:t>
      </w:r>
    </w:p>
    <w:p w14:paraId="1DEAA37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w:t>
      </w:r>
      <w:r>
        <w:rPr>
          <w:rFonts w:hint="eastAsia" w:ascii="宋体" w:hAnsi="宋体" w:eastAsia="宋体" w:cs="宋体"/>
          <w:sz w:val="24"/>
          <w:szCs w:val="24"/>
          <w:lang w:eastAsia="zh-Hans"/>
        </w:rPr>
        <w:t>现有库存</w:t>
      </w:r>
      <w:r>
        <w:rPr>
          <w:rFonts w:hint="eastAsia" w:ascii="宋体" w:hAnsi="宋体" w:eastAsia="宋体" w:cs="宋体"/>
          <w:sz w:val="24"/>
          <w:szCs w:val="24"/>
          <w:lang w:eastAsia="zh-CN"/>
        </w:rPr>
        <w:t>盘点</w:t>
      </w:r>
      <w:r>
        <w:rPr>
          <w:rFonts w:hint="eastAsia" w:ascii="宋体" w:hAnsi="宋体" w:eastAsia="宋体" w:cs="宋体"/>
          <w:sz w:val="24"/>
          <w:szCs w:val="24"/>
          <w:lang w:eastAsia="zh-Hans"/>
        </w:rPr>
        <w:t>功能</w:t>
      </w:r>
      <w:r>
        <w:rPr>
          <w:rFonts w:hint="eastAsia" w:ascii="宋体" w:hAnsi="宋体" w:eastAsia="宋体" w:cs="宋体"/>
          <w:sz w:val="24"/>
          <w:szCs w:val="24"/>
          <w:lang w:eastAsia="zh-CN"/>
        </w:rPr>
        <w:t>，设置盘盈盘亏数量，审定后记入台帐功能。</w:t>
      </w:r>
    </w:p>
    <w:p w14:paraId="777639D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具备试剂实际出库量与仪器实际检测消耗量的结果对比分析功能。</w:t>
      </w:r>
    </w:p>
    <w:p w14:paraId="24459C7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具备设定</w:t>
      </w:r>
      <w:r>
        <w:rPr>
          <w:rFonts w:hint="eastAsia" w:ascii="宋体" w:hAnsi="宋体" w:eastAsia="宋体" w:cs="宋体"/>
          <w:sz w:val="24"/>
          <w:szCs w:val="24"/>
          <w:lang w:eastAsia="zh-Hans"/>
        </w:rPr>
        <w:t>项目</w:t>
      </w:r>
      <w:r>
        <w:rPr>
          <w:rFonts w:hint="eastAsia" w:ascii="宋体" w:hAnsi="宋体" w:eastAsia="宋体" w:cs="宋体"/>
          <w:sz w:val="24"/>
          <w:szCs w:val="24"/>
          <w:lang w:eastAsia="zh-CN"/>
        </w:rPr>
        <w:t>消耗试剂参数后，通过样本项目的检测数量估算试剂的消耗量及盈利情况功能。</w:t>
      </w:r>
    </w:p>
    <w:p w14:paraId="1668A63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Hans"/>
        </w:rPr>
        <w:t>具备危险品试剂管理功能。</w:t>
      </w:r>
    </w:p>
    <w:p w14:paraId="73A1A26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eastAsia="zh-Hans"/>
        </w:rPr>
        <w:t>具备多级库存管理功能。</w:t>
      </w:r>
    </w:p>
    <w:p w14:paraId="594CAB7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Hans"/>
        </w:rPr>
        <w:t>支持与医院物资管理系统对接，实现试剂耗材消耗情况同步</w:t>
      </w:r>
      <w:r>
        <w:rPr>
          <w:rFonts w:hint="eastAsia" w:ascii="宋体" w:hAnsi="宋体" w:eastAsia="宋体" w:cs="宋体"/>
          <w:sz w:val="24"/>
          <w:szCs w:val="24"/>
          <w:lang w:eastAsia="zh-CN"/>
        </w:rPr>
        <w:t>。</w:t>
      </w:r>
    </w:p>
    <w:p w14:paraId="6CF92170">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1.1.8.4.</w:t>
      </w:r>
      <w:r>
        <w:rPr>
          <w:rFonts w:hint="eastAsia" w:ascii="宋体" w:hAnsi="宋体" w:eastAsia="宋体" w:cs="宋体"/>
          <w:sz w:val="24"/>
          <w:szCs w:val="24"/>
        </w:rPr>
        <w:t>人员管理</w:t>
      </w:r>
    </w:p>
    <w:p w14:paraId="3284D7C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具备记录员工基本信息功能，包括工号、姓名、性别、血型、身份证号</w:t>
      </w:r>
      <w:r>
        <w:rPr>
          <w:rFonts w:hint="eastAsia" w:ascii="宋体" w:hAnsi="宋体" w:eastAsia="宋体" w:cs="宋体"/>
          <w:sz w:val="24"/>
          <w:szCs w:val="24"/>
          <w:lang w:eastAsia="zh-Hans"/>
        </w:rPr>
        <w:t>等</w:t>
      </w:r>
      <w:r>
        <w:rPr>
          <w:rFonts w:hint="eastAsia" w:ascii="宋体" w:hAnsi="宋体" w:eastAsia="宋体" w:cs="宋体"/>
          <w:sz w:val="24"/>
          <w:szCs w:val="24"/>
          <w:lang w:eastAsia="zh-CN"/>
        </w:rPr>
        <w:t>。</w:t>
      </w:r>
    </w:p>
    <w:p w14:paraId="538987E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具备记录员工联络信息功能，包括住址、联络电话、紧急联络人</w:t>
      </w:r>
      <w:r>
        <w:rPr>
          <w:rFonts w:hint="eastAsia" w:ascii="宋体" w:hAnsi="宋体" w:eastAsia="宋体" w:cs="宋体"/>
          <w:sz w:val="24"/>
          <w:szCs w:val="24"/>
          <w:lang w:eastAsia="zh-Hans"/>
        </w:rPr>
        <w:t>等</w:t>
      </w:r>
      <w:r>
        <w:rPr>
          <w:rFonts w:hint="eastAsia" w:ascii="宋体" w:hAnsi="宋体" w:eastAsia="宋体" w:cs="宋体"/>
          <w:sz w:val="24"/>
          <w:szCs w:val="24"/>
          <w:lang w:eastAsia="zh-CN"/>
        </w:rPr>
        <w:t>。</w:t>
      </w:r>
    </w:p>
    <w:p w14:paraId="41A20C5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具备记录职称、职务信息功能。</w:t>
      </w:r>
    </w:p>
    <w:p w14:paraId="700E502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具备记录学习及工作经历信息功能。</w:t>
      </w:r>
    </w:p>
    <w:p w14:paraId="193B00A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具备记录个人简历、各类证书功能。</w:t>
      </w:r>
    </w:p>
    <w:p w14:paraId="29B5E4A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具备记录个人工伤、疫苗接种、色盲等健康相关信息功能。</w:t>
      </w:r>
    </w:p>
    <w:p w14:paraId="403D120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具备统计功能，</w:t>
      </w:r>
      <w:r>
        <w:rPr>
          <w:rFonts w:hint="eastAsia" w:ascii="宋体" w:hAnsi="宋体" w:eastAsia="宋体" w:cs="宋体"/>
          <w:sz w:val="24"/>
          <w:szCs w:val="24"/>
          <w:lang w:eastAsia="zh-Hans"/>
        </w:rPr>
        <w:t>可自定义</w:t>
      </w:r>
      <w:r>
        <w:rPr>
          <w:rFonts w:hint="eastAsia" w:ascii="宋体" w:hAnsi="宋体" w:eastAsia="宋体" w:cs="宋体"/>
          <w:sz w:val="24"/>
          <w:szCs w:val="24"/>
          <w:lang w:eastAsia="zh-CN"/>
        </w:rPr>
        <w:t>生成不同的员工信息报表。</w:t>
      </w:r>
    </w:p>
    <w:p w14:paraId="72C8EDFD">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1.1.8.5.</w:t>
      </w:r>
      <w:r>
        <w:rPr>
          <w:rFonts w:hint="eastAsia" w:ascii="宋体" w:hAnsi="宋体" w:eastAsia="宋体" w:cs="宋体"/>
          <w:sz w:val="24"/>
          <w:szCs w:val="24"/>
        </w:rPr>
        <w:t>设备管理</w:t>
      </w:r>
    </w:p>
    <w:p w14:paraId="105B679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具备记录冰箱、恒温箱、离心机等实验室设备信息功能。</w:t>
      </w:r>
    </w:p>
    <w:p w14:paraId="5D80231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具备仪器设备信息化管理，记录各仪器设备的所有信息功能，包括：仪器类型、仪器状态、设备位置、供应商电话、合同期限、合同编号、工作温度，生成仪器设备的档案。</w:t>
      </w:r>
    </w:p>
    <w:p w14:paraId="0C66162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具备仪器设备维修、</w:t>
      </w:r>
      <w:r>
        <w:rPr>
          <w:rFonts w:hint="eastAsia" w:ascii="宋体" w:hAnsi="宋体" w:eastAsia="宋体" w:cs="宋体"/>
          <w:sz w:val="24"/>
          <w:szCs w:val="24"/>
          <w:lang w:eastAsia="zh-Hans"/>
        </w:rPr>
        <w:t>保养、校准、检定、使用、报废、调动、授权、验收、启用等</w:t>
      </w:r>
      <w:r>
        <w:rPr>
          <w:rFonts w:hint="eastAsia" w:ascii="宋体" w:hAnsi="宋体" w:eastAsia="宋体" w:cs="宋体"/>
          <w:sz w:val="24"/>
          <w:szCs w:val="24"/>
          <w:lang w:eastAsia="zh-CN"/>
        </w:rPr>
        <w:t>情况记录功能。</w:t>
      </w:r>
    </w:p>
    <w:p w14:paraId="6F8E09C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Hans"/>
        </w:rPr>
        <w:t>具备仪器设备采购管理功能。</w:t>
      </w:r>
    </w:p>
    <w:p w14:paraId="49CFB1E3">
      <w:pPr>
        <w:pStyle w:val="7"/>
        <w:pageBreakBefore w:val="0"/>
        <w:numPr>
          <w:ilvl w:val="3"/>
          <w:numId w:val="0"/>
        </w:numPr>
        <w:wordWrap/>
        <w:overflowPunct/>
        <w:topLinePunct w:val="0"/>
        <w:bidi w:val="0"/>
        <w:snapToGrid w:val="0"/>
        <w:spacing w:before="0" w:after="0" w:line="360" w:lineRule="auto"/>
        <w:ind w:left="864" w:leftChars="177" w:hanging="492" w:hangingChars="204"/>
        <w:rPr>
          <w:rFonts w:hint="eastAsia" w:ascii="宋体" w:hAnsi="宋体" w:eastAsia="宋体" w:cs="宋体"/>
          <w:sz w:val="24"/>
          <w:szCs w:val="24"/>
        </w:rPr>
      </w:pPr>
      <w:r>
        <w:rPr>
          <w:rFonts w:hint="eastAsia" w:ascii="宋体" w:hAnsi="宋体" w:eastAsia="宋体" w:cs="宋体"/>
          <w:b/>
          <w:bCs/>
          <w:snapToGrid/>
          <w:color w:val="auto"/>
          <w:kern w:val="2"/>
          <w:sz w:val="24"/>
          <w:szCs w:val="24"/>
          <w:lang w:val="en-US" w:eastAsia="zh-CN" w:bidi="ar-SA"/>
        </w:rPr>
        <w:t>1.1.8.6.</w:t>
      </w:r>
      <w:r>
        <w:rPr>
          <w:rFonts w:hint="eastAsia" w:ascii="宋体" w:hAnsi="宋体" w:eastAsia="宋体" w:cs="宋体"/>
          <w:sz w:val="24"/>
          <w:szCs w:val="24"/>
        </w:rPr>
        <w:t>科室文档管理</w:t>
      </w:r>
    </w:p>
    <w:p w14:paraId="4C52E66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eastAsia="zh-Hans"/>
        </w:rPr>
        <w:t>具备自定义文件夹和目录功能。</w:t>
      </w:r>
    </w:p>
    <w:p w14:paraId="2735B4C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Hans"/>
        </w:rPr>
      </w:pPr>
      <w:r>
        <w:rPr>
          <w:rFonts w:hint="eastAsia" w:ascii="宋体" w:hAnsi="宋体" w:eastAsia="宋体" w:cs="宋体"/>
          <w:sz w:val="24"/>
          <w:szCs w:val="24"/>
          <w:lang w:eastAsia="zh-CN"/>
        </w:rPr>
        <w:t>具备科室文档</w:t>
      </w:r>
      <w:r>
        <w:rPr>
          <w:rFonts w:hint="eastAsia" w:ascii="宋体" w:hAnsi="宋体" w:eastAsia="宋体" w:cs="宋体"/>
          <w:sz w:val="24"/>
          <w:szCs w:val="24"/>
          <w:lang w:eastAsia="zh-Hans"/>
        </w:rPr>
        <w:t>上传、审核、离线/在线编辑、发布、查看、评价、归档、导出全流程管理功能。</w:t>
      </w:r>
    </w:p>
    <w:p w14:paraId="7EC30CC0">
      <w:pPr>
        <w:pageBreakBefore w:val="0"/>
        <w:wordWrap/>
        <w:overflowPunct/>
        <w:topLinePunct w:val="0"/>
        <w:bidi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lang w:eastAsia="zh-Hans"/>
        </w:rPr>
        <w:t>具备科室文档</w:t>
      </w:r>
      <w:r>
        <w:rPr>
          <w:rFonts w:hint="eastAsia" w:ascii="宋体" w:hAnsi="宋体" w:eastAsia="宋体" w:cs="宋体"/>
          <w:sz w:val="24"/>
          <w:szCs w:val="24"/>
          <w:lang w:eastAsia="zh-CN"/>
        </w:rPr>
        <w:t>修改申请、审批、</w:t>
      </w:r>
      <w:r>
        <w:rPr>
          <w:rFonts w:hint="eastAsia" w:ascii="宋体" w:hAnsi="宋体" w:eastAsia="宋体" w:cs="宋体"/>
          <w:sz w:val="24"/>
          <w:szCs w:val="24"/>
          <w:lang w:eastAsia="zh-Hans"/>
        </w:rPr>
        <w:t>离线/在线</w:t>
      </w:r>
      <w:r>
        <w:rPr>
          <w:rFonts w:hint="eastAsia" w:ascii="宋体" w:hAnsi="宋体" w:eastAsia="宋体" w:cs="宋体"/>
          <w:sz w:val="24"/>
          <w:szCs w:val="24"/>
          <w:lang w:eastAsia="zh-CN"/>
        </w:rPr>
        <w:t>编辑、提交审核、审核、发布、归档</w:t>
      </w:r>
      <w:r>
        <w:rPr>
          <w:rFonts w:hint="eastAsia" w:ascii="宋体" w:hAnsi="宋体" w:eastAsia="宋体" w:cs="宋体"/>
          <w:sz w:val="24"/>
          <w:szCs w:val="24"/>
          <w:lang w:eastAsia="zh-Hans"/>
        </w:rPr>
        <w:t>的修订全流程</w:t>
      </w:r>
      <w:r>
        <w:rPr>
          <w:rFonts w:hint="eastAsia" w:ascii="宋体" w:hAnsi="宋体" w:eastAsia="宋体" w:cs="宋体"/>
          <w:sz w:val="24"/>
          <w:szCs w:val="24"/>
          <w:highlight w:val="none"/>
          <w:lang w:eastAsia="zh-Hans"/>
        </w:rPr>
        <w:t>管理功能。</w:t>
      </w:r>
    </w:p>
    <w:p w14:paraId="148C5079">
      <w:pPr>
        <w:pageBreakBefore w:val="0"/>
        <w:wordWrap/>
        <w:overflowPunct/>
        <w:topLinePunct w:val="0"/>
        <w:bidi w:val="0"/>
        <w:snapToGrid w:val="0"/>
        <w:spacing w:line="360" w:lineRule="auto"/>
        <w:ind w:firstLine="480" w:firstLineChars="200"/>
        <w:rPr>
          <w:rFonts w:hint="eastAsia" w:ascii="宋体" w:hAnsi="宋体" w:eastAsia="宋体" w:cs="宋体"/>
          <w:sz w:val="24"/>
          <w:szCs w:val="24"/>
          <w:highlight w:val="none"/>
          <w:lang w:eastAsia="zh-Hans"/>
        </w:rPr>
      </w:pPr>
      <w:r>
        <w:rPr>
          <w:rFonts w:hint="eastAsia" w:ascii="宋体" w:hAnsi="宋体" w:eastAsia="宋体" w:cs="宋体"/>
          <w:sz w:val="24"/>
          <w:szCs w:val="24"/>
          <w:highlight w:val="none"/>
          <w:lang w:eastAsia="zh-Hans"/>
        </w:rPr>
        <w:t>具备权限分配功能，可根据文件夹或操作功能进行个人权限分配。</w:t>
      </w:r>
    </w:p>
    <w:p w14:paraId="1CABEC40">
      <w:pPr>
        <w:pageBreakBefore w:val="0"/>
        <w:wordWrap/>
        <w:overflowPunct/>
        <w:topLinePunct w:val="0"/>
        <w:bidi w:val="0"/>
        <w:snapToGrid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Hans"/>
        </w:rPr>
        <w:t>具备</w:t>
      </w:r>
      <w:r>
        <w:rPr>
          <w:rFonts w:hint="eastAsia" w:ascii="宋体" w:hAnsi="宋体" w:eastAsia="宋体" w:cs="宋体"/>
          <w:sz w:val="24"/>
          <w:szCs w:val="24"/>
          <w:highlight w:val="none"/>
          <w:lang w:eastAsia="zh-CN"/>
        </w:rPr>
        <w:t>科室事务办公和日常事务记录的归档</w:t>
      </w:r>
      <w:r>
        <w:rPr>
          <w:rFonts w:hint="eastAsia" w:ascii="宋体" w:hAnsi="宋体" w:eastAsia="宋体" w:cs="宋体"/>
          <w:sz w:val="24"/>
          <w:szCs w:val="24"/>
          <w:highlight w:val="none"/>
          <w:lang w:eastAsia="zh-Hans"/>
        </w:rPr>
        <w:t>功能。</w:t>
      </w:r>
    </w:p>
    <w:p w14:paraId="13CDDBAC">
      <w:pPr>
        <w:pStyle w:val="5"/>
        <w:keepNext/>
        <w:keepLines/>
        <w:pageBreakBefore w:val="0"/>
        <w:widowControl w:val="0"/>
        <w:numPr>
          <w:ilvl w:val="1"/>
          <w:numId w:val="0"/>
        </w:numPr>
        <w:kinsoku/>
        <w:wordWrap/>
        <w:overflowPunct/>
        <w:topLinePunct w:val="0"/>
        <w:autoSpaceDE/>
        <w:autoSpaceDN/>
        <w:bidi w:val="0"/>
        <w:adjustRightInd/>
        <w:snapToGrid w:val="0"/>
        <w:spacing w:before="0" w:beforeAutospacing="0" w:after="0" w:afterAutospacing="0" w:line="360" w:lineRule="auto"/>
        <w:ind w:firstLine="241" w:firstLineChars="100"/>
        <w:textAlignment w:val="auto"/>
        <w:rPr>
          <w:rFonts w:hint="eastAsia" w:ascii="宋体" w:hAnsi="宋体" w:eastAsia="宋体" w:cs="宋体"/>
          <w:color w:val="000000"/>
          <w:kern w:val="0"/>
          <w:sz w:val="24"/>
          <w:szCs w:val="24"/>
        </w:rPr>
      </w:pPr>
      <w:bookmarkStart w:id="10" w:name="_Toc213686211"/>
      <w:r>
        <w:rPr>
          <w:rFonts w:hint="eastAsia" w:ascii="宋体" w:hAnsi="宋体" w:eastAsia="宋体" w:cs="宋体"/>
          <w:b/>
          <w:bCs/>
          <w:color w:val="000000"/>
          <w:kern w:val="0"/>
          <w:sz w:val="24"/>
          <w:szCs w:val="24"/>
          <w:lang w:val="en-US" w:eastAsia="zh-CN" w:bidi="ar-SA"/>
        </w:rPr>
        <w:t>1.2.</w:t>
      </w:r>
      <w:r>
        <w:rPr>
          <w:rFonts w:hint="eastAsia" w:ascii="宋体" w:hAnsi="宋体" w:eastAsia="宋体" w:cs="宋体"/>
          <w:color w:val="000000"/>
          <w:kern w:val="0"/>
          <w:sz w:val="24"/>
          <w:szCs w:val="24"/>
        </w:rPr>
        <w:t>互联互通数据改造</w:t>
      </w:r>
      <w:bookmarkEnd w:id="10"/>
    </w:p>
    <w:p w14:paraId="4B3F7C84">
      <w:pPr>
        <w:pStyle w:val="6"/>
        <w:keepNext/>
        <w:keepLines/>
        <w:pageBreakBefore w:val="0"/>
        <w:widowControl w:val="0"/>
        <w:numPr>
          <w:ilvl w:val="2"/>
          <w:numId w:val="0"/>
        </w:numPr>
        <w:kinsoku/>
        <w:wordWrap/>
        <w:overflowPunct/>
        <w:topLinePunct w:val="0"/>
        <w:autoSpaceDE/>
        <w:autoSpaceDN/>
        <w:bidi w:val="0"/>
        <w:adjustRightInd/>
        <w:snapToGrid w:val="0"/>
        <w:spacing w:before="0" w:beforeAutospacing="0" w:after="0" w:afterAutospacing="0" w:line="360" w:lineRule="auto"/>
        <w:ind w:firstLine="241" w:firstLineChars="100"/>
        <w:jc w:val="both"/>
        <w:textAlignment w:val="auto"/>
        <w:rPr>
          <w:rFonts w:hint="eastAsia" w:ascii="宋体" w:hAnsi="宋体" w:eastAsia="宋体" w:cs="宋体"/>
          <w:sz w:val="24"/>
          <w:szCs w:val="24"/>
        </w:rPr>
      </w:pPr>
      <w:bookmarkStart w:id="11" w:name="_Toc213686212"/>
      <w:bookmarkStart w:id="12" w:name="_Toc28607"/>
      <w:r>
        <w:rPr>
          <w:rFonts w:hint="eastAsia" w:ascii="宋体" w:hAnsi="宋体" w:eastAsia="宋体" w:cs="宋体"/>
          <w:b/>
          <w:kern w:val="2"/>
          <w:sz w:val="24"/>
          <w:szCs w:val="24"/>
          <w:lang w:val="en-US" w:eastAsia="zh-CN" w:bidi="ar-SA"/>
        </w:rPr>
        <w:t>1.</w:t>
      </w:r>
      <w:r>
        <w:rPr>
          <w:rFonts w:hint="eastAsia" w:ascii="宋体" w:hAnsi="宋体" w:eastAsia="宋体" w:cs="宋体"/>
          <w:b/>
          <w:kern w:val="2"/>
          <w:sz w:val="24"/>
          <w:szCs w:val="24"/>
          <w:highlight w:val="none"/>
          <w:lang w:val="en-US" w:eastAsia="zh-CN" w:bidi="ar-SA"/>
        </w:rPr>
        <w:t>2.1.</w:t>
      </w:r>
      <w:r>
        <w:rPr>
          <w:rFonts w:hint="eastAsia" w:ascii="宋体" w:hAnsi="宋体" w:eastAsia="宋体" w:cs="宋体"/>
          <w:sz w:val="24"/>
          <w:szCs w:val="24"/>
          <w:highlight w:val="none"/>
        </w:rPr>
        <w:t>互联互通标准化</w:t>
      </w:r>
      <w:bookmarkEnd w:id="11"/>
      <w:bookmarkEnd w:id="12"/>
    </w:p>
    <w:p w14:paraId="73FB940D">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互联互通标准化系统按照国家互联互通等级评审要求，构建起对应的数据集模型，并建立配套的标准化系统工具，完成数据资源的标准化处理。实现互联互通共享文档的配置与管理，依据文档规则对数据资源进行整合、标准化处理、数据组装，生成符合国家互联互通等级要求的共享文档。</w:t>
      </w:r>
    </w:p>
    <w:p w14:paraId="577A5A85">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bidi="ar"/>
        </w:rPr>
      </w:pPr>
      <w:r>
        <w:rPr>
          <w:rFonts w:hint="eastAsia" w:ascii="宋体" w:hAnsi="宋体" w:eastAsia="宋体" w:cs="宋体"/>
          <w:sz w:val="24"/>
          <w:szCs w:val="24"/>
          <w:lang w:bidi="ar"/>
        </w:rPr>
        <w:t>互联互通标准知识库</w:t>
      </w:r>
    </w:p>
    <w:p w14:paraId="21A5A40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具备标准知识库管理，内置国家标准规范与校验规则。</w:t>
      </w:r>
    </w:p>
    <w:p w14:paraId="65402355">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共享文档模可视化管理</w:t>
      </w:r>
    </w:p>
    <w:p w14:paraId="00446F10">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具备可视化共享文档模板管理功能，可以管理共享文档的章节结构与数据元。</w:t>
      </w:r>
    </w:p>
    <w:p w14:paraId="3B22E8F3">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能够动态配置章节结构，维护数据元属性。</w:t>
      </w:r>
    </w:p>
    <w:p w14:paraId="7DB9FD5B">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标准化数据集生成与查阅</w:t>
      </w:r>
    </w:p>
    <w:p w14:paraId="2682E516">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具备数据集生成功能，依据数据集标准结构将各业务数据组装成符合规范的数据集。</w:t>
      </w:r>
    </w:p>
    <w:p w14:paraId="130309AD">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支持与主数据系统对接实现非标数据与标准数据之间转换，数据组装环节定位清晰。</w:t>
      </w:r>
    </w:p>
    <w:p w14:paraId="47EA29E1">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bidi="ar"/>
        </w:rPr>
      </w:pPr>
      <w:r>
        <w:rPr>
          <w:rFonts w:hint="eastAsia" w:ascii="宋体" w:hAnsi="宋体" w:eastAsia="宋体" w:cs="宋体"/>
          <w:sz w:val="24"/>
          <w:szCs w:val="24"/>
          <w:lang w:bidi="ar"/>
        </w:rPr>
        <w:t>CDA文档生成与查阅</w:t>
      </w:r>
    </w:p>
    <w:p w14:paraId="594514A1">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具备共享文档生成功能，按照共享文档国标规范生成符合要求的患者共享文档。</w:t>
      </w:r>
    </w:p>
    <w:p w14:paraId="0D7952EB">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具备手工调试与自动处理两种文档生成模式。</w:t>
      </w:r>
    </w:p>
    <w:p w14:paraId="2475918E">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具备共享文档的可视化查阅功能，对于敏感信息可以脱敏显示。</w:t>
      </w:r>
    </w:p>
    <w:p w14:paraId="1C979916">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数据质控与管理</w:t>
      </w:r>
    </w:p>
    <w:p w14:paraId="421C1C2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ar"/>
        </w:rPr>
      </w:pPr>
      <w:r>
        <w:rPr>
          <w:rFonts w:hint="eastAsia" w:ascii="宋体" w:hAnsi="宋体" w:eastAsia="宋体" w:cs="宋体"/>
          <w:sz w:val="24"/>
          <w:szCs w:val="24"/>
          <w:lang w:eastAsia="zh-CN" w:bidi="ar"/>
        </w:rPr>
        <w:t>具备共享文档及数据集的数据质量管理功能，包括文档结构完整性、值域类型正确性的检查校验，针对不合规数据给出具体的错误信息提示。</w:t>
      </w:r>
    </w:p>
    <w:p w14:paraId="297170FA">
      <w:pPr>
        <w:pageBreakBefore w:val="0"/>
        <w:numPr>
          <w:ilvl w:val="0"/>
          <w:numId w:val="2"/>
        </w:numPr>
        <w:kinsoku/>
        <w:wordWrap/>
        <w:overflowPunct/>
        <w:topLinePunct w:val="0"/>
        <w:autoSpaceDE/>
        <w:autoSpaceDN/>
        <w:bidi w:val="0"/>
        <w:adjustRightInd/>
        <w:snapToGrid w:val="0"/>
        <w:spacing w:line="360" w:lineRule="auto"/>
        <w:ind w:firstLine="420"/>
        <w:jc w:val="both"/>
        <w:textAlignment w:val="auto"/>
        <w:rPr>
          <w:rFonts w:hint="eastAsia" w:ascii="宋体" w:hAnsi="宋体" w:eastAsia="宋体" w:cs="宋体"/>
          <w:sz w:val="24"/>
          <w:szCs w:val="24"/>
          <w:lang w:bidi="ar"/>
        </w:rPr>
      </w:pPr>
      <w:r>
        <w:rPr>
          <w:rFonts w:hint="eastAsia" w:ascii="宋体" w:hAnsi="宋体" w:eastAsia="宋体" w:cs="宋体"/>
          <w:sz w:val="24"/>
          <w:szCs w:val="24"/>
          <w:lang w:bidi="ar"/>
        </w:rPr>
        <w:t>共享文档库</w:t>
      </w:r>
    </w:p>
    <w:p w14:paraId="12F9644F">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具备独立的共享文档库。</w:t>
      </w:r>
    </w:p>
    <w:p w14:paraId="432D8FD9">
      <w:pPr>
        <w:pStyle w:val="14"/>
        <w:pageBreakBefore w:val="0"/>
        <w:numPr>
          <w:ilvl w:val="0"/>
          <w:numId w:val="0"/>
        </w:numPr>
        <w:wordWrap/>
        <w:overflowPunct/>
        <w:topLinePunct w:val="0"/>
        <w:bidi w:val="0"/>
        <w:adjustRightInd w:val="0"/>
        <w:snapToGrid w:val="0"/>
        <w:spacing w:line="360" w:lineRule="auto"/>
        <w:ind w:left="845" w:leftChars="0" w:hanging="440" w:firstLineChars="0"/>
        <w:rPr>
          <w:rFonts w:hint="eastAsia" w:ascii="宋体" w:hAnsi="宋体" w:eastAsia="宋体" w:cs="宋体"/>
          <w:sz w:val="24"/>
          <w:szCs w:val="24"/>
          <w:lang w:bidi="ar"/>
        </w:rPr>
      </w:pPr>
      <w:r>
        <w:rPr>
          <w:rFonts w:hint="eastAsia" w:ascii="宋体" w:hAnsi="宋体" w:eastAsia="宋体" w:cs="宋体"/>
          <w:sz w:val="24"/>
          <w:szCs w:val="24"/>
          <w:lang w:bidi="ar"/>
        </w:rPr>
        <w:t>针对共享文档库内容，具备文档检索和调阅功能，支持跨系统间调阅浏览。</w:t>
      </w:r>
    </w:p>
    <w:p w14:paraId="546F2136">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13" w:name="_Toc213686213"/>
      <w:bookmarkStart w:id="14" w:name="_Toc25214"/>
      <w:bookmarkStart w:id="15" w:name="_Toc170458285"/>
      <w:r>
        <w:rPr>
          <w:rFonts w:hint="eastAsia" w:ascii="宋体" w:hAnsi="宋体" w:eastAsia="宋体" w:cs="宋体"/>
          <w:b/>
          <w:kern w:val="2"/>
          <w:sz w:val="24"/>
          <w:szCs w:val="24"/>
          <w:lang w:val="en-US" w:eastAsia="zh-CN" w:bidi="ar-SA"/>
        </w:rPr>
        <w:t>1.2.2.</w:t>
      </w:r>
      <w:r>
        <w:rPr>
          <w:rFonts w:hint="eastAsia" w:ascii="宋体" w:hAnsi="宋体" w:eastAsia="宋体" w:cs="宋体"/>
          <w:sz w:val="24"/>
          <w:szCs w:val="24"/>
        </w:rPr>
        <w:t>数据治理管理</w:t>
      </w:r>
      <w:bookmarkEnd w:id="13"/>
      <w:bookmarkEnd w:id="14"/>
    </w:p>
    <w:p w14:paraId="63FA1B5D">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结合数据中心的数据链路，提供多维数据治理。在数据采集之前，可视化管理确定数据中心模型标准，支持数据映射采集。对于采集后的数据及后续数据链路管理，以元数据为基础，统一进行元数据的采集汇聚、管理与分析，为数据质量监管、数据安全管理、数据资产管理提供基础数据服务。实现多维数据治理。包括：数据模型管理、数据质量监管、数据安全管理等。</w:t>
      </w:r>
    </w:p>
    <w:p w14:paraId="6B2A29FF">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4.2.2.1.</w:t>
      </w:r>
      <w:r>
        <w:rPr>
          <w:rFonts w:hint="eastAsia" w:ascii="宋体" w:hAnsi="宋体" w:eastAsia="宋体" w:cs="宋体"/>
          <w:b/>
          <w:bCs/>
          <w:sz w:val="24"/>
          <w:szCs w:val="24"/>
          <w:lang w:bidi="ar"/>
        </w:rPr>
        <w:t>数据模型管理</w:t>
      </w:r>
    </w:p>
    <w:p w14:paraId="432B20ED">
      <w:pPr>
        <w:pStyle w:val="13"/>
        <w:pageBreakBefore w:val="0"/>
        <w:numPr>
          <w:ilvl w:val="0"/>
          <w:numId w:val="3"/>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模型概览</w:t>
      </w:r>
    </w:p>
    <w:p w14:paraId="34C5492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具备对数据中心HDW模型统计分析的能力，可提供业务主题域、主题、模型、数据源的统计值；</w:t>
      </w:r>
    </w:p>
    <w:p w14:paraId="261BB6B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具备对不同主题模型卡片式分类展示的能力。</w:t>
      </w:r>
    </w:p>
    <w:p w14:paraId="33EB5CEA">
      <w:pPr>
        <w:pStyle w:val="13"/>
        <w:pageBreakBefore w:val="0"/>
        <w:numPr>
          <w:ilvl w:val="0"/>
          <w:numId w:val="3"/>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模型组管理</w:t>
      </w:r>
    </w:p>
    <w:p w14:paraId="6E374F1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具备对模型分组管理的能力，包括分组编辑、设计和禁用。</w:t>
      </w:r>
    </w:p>
    <w:p w14:paraId="04F41E30">
      <w:pPr>
        <w:pStyle w:val="13"/>
        <w:pageBreakBefore w:val="0"/>
        <w:numPr>
          <w:ilvl w:val="0"/>
          <w:numId w:val="3"/>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定版模型管理</w:t>
      </w:r>
    </w:p>
    <w:p w14:paraId="5862DD1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具备对已发布的定版模型按主题域/主题树查看的能力；</w:t>
      </w:r>
    </w:p>
    <w:p w14:paraId="4E2A800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具备模型详情查看的能力，包括字段名称、值域、空值、物理/业务主键、字段长度等；</w:t>
      </w:r>
    </w:p>
    <w:p w14:paraId="13A5058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具备按版本、名称、代码检索能力；</w:t>
      </w:r>
    </w:p>
    <w:p w14:paraId="6377B98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具备字段级版本更新记录、版本对比能力；</w:t>
      </w:r>
    </w:p>
    <w:p w14:paraId="2F88922C">
      <w:pPr>
        <w:pStyle w:val="13"/>
        <w:pageBreakBefore w:val="0"/>
        <w:numPr>
          <w:ilvl w:val="0"/>
          <w:numId w:val="3"/>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模型设计与发布</w:t>
      </w:r>
    </w:p>
    <w:p w14:paraId="651CBD0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具备主题和模型同时设计的能力，包括主题的增删改、模型的新增/修改/停用，字段的名字/值域/业务主键/是否为空/长度/精度；</w:t>
      </w:r>
    </w:p>
    <w:p w14:paraId="6366C81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具备批量导入模型设计的能力；</w:t>
      </w:r>
    </w:p>
    <w:p w14:paraId="117004A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具备对标准数据元进行统一管理查看的能力；</w:t>
      </w:r>
    </w:p>
    <w:p w14:paraId="5C492001">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具备通过数据元获取、手动新增两种方式添加模型字段的功能；</w:t>
      </w:r>
    </w:p>
    <w:p w14:paraId="6F1E2F8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具备发布时主题变更对比、字段级版本差异对比的能力；</w:t>
      </w:r>
    </w:p>
    <w:p w14:paraId="2A9E1A5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具备发版审核的能力，保证模型的强管理。</w:t>
      </w:r>
    </w:p>
    <w:p w14:paraId="1777F896">
      <w:pPr>
        <w:pStyle w:val="13"/>
        <w:pageBreakBefore w:val="0"/>
        <w:numPr>
          <w:ilvl w:val="0"/>
          <w:numId w:val="3"/>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模型实施</w:t>
      </w:r>
    </w:p>
    <w:p w14:paraId="52CFE97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具备根据模型发布自动生成模型变更任务，可在线一键执行更新物理模型；</w:t>
      </w:r>
    </w:p>
    <w:p w14:paraId="66FBD18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具备物理模型变更日志查看能力，包括变更脚本、执行任务模型清单。</w:t>
      </w:r>
    </w:p>
    <w:p w14:paraId="1EBE1BE1">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4.2.2.2.</w:t>
      </w:r>
      <w:r>
        <w:rPr>
          <w:rFonts w:hint="eastAsia" w:ascii="宋体" w:hAnsi="宋体" w:eastAsia="宋体" w:cs="宋体"/>
          <w:b/>
          <w:bCs/>
          <w:sz w:val="24"/>
          <w:szCs w:val="24"/>
          <w:lang w:bidi="ar"/>
        </w:rPr>
        <w:t>元数据管理</w:t>
      </w:r>
    </w:p>
    <w:p w14:paraId="3C8184C2">
      <w:pPr>
        <w:pStyle w:val="13"/>
        <w:pageBreakBefore w:val="0"/>
        <w:numPr>
          <w:ilvl w:val="0"/>
          <w:numId w:val="4"/>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元数据概览</w:t>
      </w:r>
    </w:p>
    <w:p w14:paraId="79420C6E">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支持按照不同类型元数据进行统计展示；</w:t>
      </w:r>
    </w:p>
    <w:p w14:paraId="1724A214">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支持不同元数据分布占比统计；</w:t>
      </w:r>
    </w:p>
    <w:p w14:paraId="46D7349D">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支持重要元数据数据表的数据量排行统计；</w:t>
      </w:r>
    </w:p>
    <w:p w14:paraId="6A3A3B81">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支持重要元数据指标的不同类型分布统计；</w:t>
      </w:r>
    </w:p>
    <w:p w14:paraId="0CD5D6FD">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支持按时间范围统计元数据新增、更新、删除变更趋势</w:t>
      </w:r>
    </w:p>
    <w:p w14:paraId="6D6C0F5B">
      <w:pPr>
        <w:pStyle w:val="13"/>
        <w:pageBreakBefore w:val="0"/>
        <w:numPr>
          <w:ilvl w:val="0"/>
          <w:numId w:val="4"/>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元数据管理</w:t>
      </w:r>
    </w:p>
    <w:p w14:paraId="00346DCD">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支持选择不同的元数据采集适配器新建元数据采集任务；</w:t>
      </w:r>
    </w:p>
    <w:p w14:paraId="69C64B10">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支持通过选择适配器、任务状态、名称检索方式搜索并查看对应任务；</w:t>
      </w:r>
    </w:p>
    <w:p w14:paraId="67CDB99D">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采集任务支持编辑、删除、立即执行、查看日志、开启或关闭；</w:t>
      </w:r>
    </w:p>
    <w:p w14:paraId="6B2D502B">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支持以属性目录形式展会元数据信息；</w:t>
      </w:r>
    </w:p>
    <w:p w14:paraId="066704B5">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支持元数据检索、元数据详情查看、组合信息查看、血缘分析查看；</w:t>
      </w:r>
    </w:p>
    <w:p w14:paraId="378732EB">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支持表结构变更信息展示的功能；</w:t>
      </w:r>
    </w:p>
    <w:p w14:paraId="1E4CDA51">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支持查看元数据变更的影响分析；</w:t>
      </w:r>
    </w:p>
    <w:p w14:paraId="1B948519">
      <w:pPr>
        <w:pStyle w:val="13"/>
        <w:pageBreakBefore w:val="0"/>
        <w:numPr>
          <w:ilvl w:val="0"/>
          <w:numId w:val="4"/>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元数据分析</w:t>
      </w:r>
    </w:p>
    <w:p w14:paraId="45538C8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具备字段和指标血缘关系展示功能；</w:t>
      </w:r>
    </w:p>
    <w:p w14:paraId="25CCCDD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具备通过元数据名称检索展会指定字段或指标的血缘关系功能；</w:t>
      </w:r>
    </w:p>
    <w:p w14:paraId="0C05C01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具备点击字段展会其所在数据表的表结构信息；</w:t>
      </w:r>
    </w:p>
    <w:p w14:paraId="6EEE478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具备字段和指标影响关系展示功能；</w:t>
      </w:r>
    </w:p>
    <w:p w14:paraId="7F316F1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具备通过元数据名称检索展会指定字段或指标的影响关系功能；</w:t>
      </w:r>
    </w:p>
    <w:p w14:paraId="6EE2753C">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4.2.2.3.</w:t>
      </w:r>
      <w:r>
        <w:rPr>
          <w:rFonts w:hint="eastAsia" w:ascii="宋体" w:hAnsi="宋体" w:eastAsia="宋体" w:cs="宋体"/>
          <w:b/>
          <w:bCs/>
          <w:sz w:val="24"/>
          <w:szCs w:val="24"/>
          <w:lang w:bidi="ar"/>
        </w:rPr>
        <w:t>数据质量</w:t>
      </w:r>
    </w:p>
    <w:p w14:paraId="7DF931E0">
      <w:pPr>
        <w:pStyle w:val="13"/>
        <w:pageBreakBefore w:val="0"/>
        <w:numPr>
          <w:ilvl w:val="0"/>
          <w:numId w:val="5"/>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数据质量概览</w:t>
      </w:r>
    </w:p>
    <w:p w14:paraId="6045679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1）日视图：</w:t>
      </w:r>
    </w:p>
    <w:p w14:paraId="3332FFF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具备按照日历的方式查看质量整体情况。</w:t>
      </w:r>
    </w:p>
    <w:p w14:paraId="33A84EA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支持在日视图中针对异常日期查看异常。</w:t>
      </w:r>
    </w:p>
    <w:p w14:paraId="137729E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333333"/>
          <w:sz w:val="24"/>
          <w:szCs w:val="24"/>
          <w:shd w:val="clear" w:color="auto" w:fill="FFFFFF"/>
        </w:rPr>
        <w:t>2）详情视图：</w:t>
      </w:r>
    </w:p>
    <w:p w14:paraId="0F144FEC">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具备查看今日采集任务概况，包括任务总数、周期任务数、实时任务数。</w:t>
      </w:r>
    </w:p>
    <w:p w14:paraId="27E5A72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具备数据量核对概况，支持按时间维度查看校验数据表、源数据量、目标数据量，支持下钻查看明细。</w:t>
      </w:r>
    </w:p>
    <w:p w14:paraId="766A196A">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具备内涵质量校验情况，支持按时间维度查看质量合格率、校验规则数、校验次数、校验数据表，支持下钻查看明细。</w:t>
      </w:r>
    </w:p>
    <w:p w14:paraId="0EF2B89E">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具备按时间维度查看指标校验概况，支持下钻查看明细。</w:t>
      </w:r>
    </w:p>
    <w:p w14:paraId="392326E9">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具备按时间维度查看校验指标总数、异常数，支持下钻查看明细。</w:t>
      </w:r>
    </w:p>
    <w:p w14:paraId="527E743E">
      <w:pPr>
        <w:pStyle w:val="13"/>
        <w:pageBreakBefore w:val="0"/>
        <w:numPr>
          <w:ilvl w:val="0"/>
          <w:numId w:val="5"/>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数据质量告警</w:t>
      </w:r>
    </w:p>
    <w:p w14:paraId="7FDC0C67">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具备查看数据质量告警，包括采集任务、数据校验、内涵质控、指标校验等告警信息。</w:t>
      </w:r>
    </w:p>
    <w:p w14:paraId="6138ABD2">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具备异常告警在线查看详情和问题处理功能。</w:t>
      </w:r>
    </w:p>
    <w:p w14:paraId="4D223667">
      <w:pPr>
        <w:pStyle w:val="13"/>
        <w:pageBreakBefore w:val="0"/>
        <w:numPr>
          <w:ilvl w:val="0"/>
          <w:numId w:val="5"/>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数据集成监控</w:t>
      </w:r>
    </w:p>
    <w:p w14:paraId="17B17F36">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具备集中监控数据采集任务运行功能，支持查看运行名称、运行结果、耗时、运行历史等信息，可查看任务详情及日志，</w:t>
      </w:r>
    </w:p>
    <w:p w14:paraId="796A3D8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采集任务监控支持跳转至调度中心修改配置参数，对任务启用停用。</w:t>
      </w:r>
    </w:p>
    <w:p w14:paraId="165D501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具备源端和目标端采集数据量比对校验功能，支持手动配置、自动生成校验规则，支持异常下钻查看明细功能。</w:t>
      </w:r>
    </w:p>
    <w:p w14:paraId="6A3F6AD6">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具备数据一键补抽和重新校验功能。</w:t>
      </w:r>
    </w:p>
    <w:p w14:paraId="03DDEAE7">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具备核心指标值三端一致性比对校验功能。支持自定义校验指标、配置校验规则。</w:t>
      </w:r>
    </w:p>
    <w:p w14:paraId="0BF44A6B">
      <w:pPr>
        <w:pStyle w:val="13"/>
        <w:pageBreakBefore w:val="0"/>
        <w:numPr>
          <w:ilvl w:val="0"/>
          <w:numId w:val="5"/>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内涵质量监控</w:t>
      </w:r>
    </w:p>
    <w:p w14:paraId="272F34AB">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具备内涵质量分析统计功能，包含质量合格率及趋势、校验规则和结果统计、规则排名及分析等。</w:t>
      </w:r>
    </w:p>
    <w:p w14:paraId="1D04EF90">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具备按规则分组维度查看内涵质量统计分析结果。</w:t>
      </w:r>
    </w:p>
    <w:p w14:paraId="3367FA0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具备自动生成内涵质量评估报告，并支持报告下载功能。</w:t>
      </w:r>
    </w:p>
    <w:p w14:paraId="40A2A3B1">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具备质控规则组管理功能，可对规则按实际使用/业务场景分类分组。</w:t>
      </w:r>
    </w:p>
    <w:p w14:paraId="5992EAEE">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rPr>
      </w:pPr>
      <w:r>
        <w:rPr>
          <w:rFonts w:hint="eastAsia" w:ascii="宋体" w:hAnsi="宋体" w:eastAsia="宋体" w:cs="宋体"/>
          <w:color w:val="000000"/>
          <w:sz w:val="24"/>
          <w:szCs w:val="24"/>
        </w:rPr>
        <w:t>具备校验规则统一管理功能，支持通过SQL语句和可视化界面配置质控规则的功能。</w:t>
      </w:r>
    </w:p>
    <w:p w14:paraId="04A6E17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rPr>
        <w:t>具备按规则组查看校验结果功能，可下钻查看错误明细数据记录，并支持导出。</w:t>
      </w:r>
    </w:p>
    <w:p w14:paraId="40FB6491">
      <w:pPr>
        <w:pStyle w:val="13"/>
        <w:pageBreakBefore w:val="0"/>
        <w:numPr>
          <w:ilvl w:val="0"/>
          <w:numId w:val="5"/>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指标异常监控</w:t>
      </w:r>
    </w:p>
    <w:p w14:paraId="2A9220D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具备指标异常校验规则统一管理功能。可新增、编辑、删除。</w:t>
      </w:r>
    </w:p>
    <w:p w14:paraId="4492F4D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具备定期调度执行校验功能，可查看校验结果，包括指标名称、校验结果、指标值等。</w:t>
      </w:r>
    </w:p>
    <w:p w14:paraId="3104CE7E">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4.2.2.4.</w:t>
      </w:r>
      <w:r>
        <w:rPr>
          <w:rFonts w:hint="eastAsia" w:ascii="宋体" w:hAnsi="宋体" w:eastAsia="宋体" w:cs="宋体"/>
          <w:b/>
          <w:bCs/>
          <w:sz w:val="24"/>
          <w:szCs w:val="24"/>
          <w:lang w:bidi="ar"/>
        </w:rPr>
        <w:t>数据安全管理</w:t>
      </w:r>
    </w:p>
    <w:p w14:paraId="150C7C8C">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脱敏算法管理</w:t>
      </w:r>
    </w:p>
    <w:p w14:paraId="2A40110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color w:val="000000"/>
          <w:sz w:val="24"/>
          <w:szCs w:val="24"/>
          <w:lang w:bidi="ar"/>
        </w:rPr>
        <w:t>具备脱敏算法管理功能。</w:t>
      </w:r>
      <w:r>
        <w:rPr>
          <w:rFonts w:hint="eastAsia" w:ascii="宋体" w:hAnsi="宋体" w:eastAsia="宋体" w:cs="宋体"/>
          <w:kern w:val="0"/>
          <w:sz w:val="24"/>
          <w:szCs w:val="24"/>
          <w:lang w:bidi="ar"/>
        </w:rPr>
        <w:t>内置字符遮盖算法、关键字替换算法、泛化脱敏算法、变换脱敏算法，支持脱敏算法参数的修改和保存。</w:t>
      </w:r>
    </w:p>
    <w:p w14:paraId="1095AA0A">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脱敏规则管理</w:t>
      </w:r>
    </w:p>
    <w:p w14:paraId="77EAAC4D">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具备脱敏规则管理功能，支持规则新建、编辑、删除、启用禁用。</w:t>
      </w:r>
    </w:p>
    <w:p w14:paraId="44AA333E">
      <w:pPr>
        <w:pStyle w:val="13"/>
        <w:pageBreakBefore w:val="0"/>
        <w:wordWrap/>
        <w:overflowPunct/>
        <w:topLinePunct w:val="0"/>
        <w:bidi w:val="0"/>
        <w:snapToGrid w:val="0"/>
        <w:spacing w:before="0" w:beforeLines="0" w:line="360" w:lineRule="auto"/>
        <w:ind w:firstLine="480"/>
        <w:rPr>
          <w:rFonts w:hint="eastAsia" w:ascii="宋体" w:hAnsi="宋体" w:eastAsia="宋体" w:cs="宋体"/>
          <w:color w:val="000000"/>
          <w:sz w:val="24"/>
          <w:szCs w:val="24"/>
          <w:lang w:bidi="ar"/>
        </w:rPr>
      </w:pPr>
      <w:r>
        <w:rPr>
          <w:rFonts w:hint="eastAsia" w:ascii="宋体" w:hAnsi="宋体" w:eastAsia="宋体" w:cs="宋体"/>
          <w:color w:val="000000"/>
          <w:sz w:val="24"/>
          <w:szCs w:val="24"/>
          <w:lang w:bidi="ar"/>
        </w:rPr>
        <w:t>具备结构化、非结构化脱敏规则配置。</w:t>
      </w:r>
    </w:p>
    <w:p w14:paraId="4B5D945A">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页面水印管理</w:t>
      </w:r>
    </w:p>
    <w:p w14:paraId="7CEB0C6C">
      <w:pPr>
        <w:pStyle w:val="13"/>
        <w:pageBreakBefore w:val="0"/>
        <w:wordWrap/>
        <w:overflowPunct/>
        <w:topLinePunct w:val="0"/>
        <w:bidi w:val="0"/>
        <w:snapToGrid w:val="0"/>
        <w:spacing w:before="0" w:beforeLines="0" w:line="360" w:lineRule="auto"/>
        <w:ind w:firstLine="480"/>
        <w:rPr>
          <w:rFonts w:hint="eastAsia" w:ascii="宋体" w:hAnsi="宋体" w:eastAsia="宋体" w:cs="宋体"/>
          <w:kern w:val="0"/>
          <w:sz w:val="24"/>
          <w:szCs w:val="24"/>
          <w:lang w:bidi="ar"/>
        </w:rPr>
      </w:pPr>
      <w:r>
        <w:rPr>
          <w:rFonts w:hint="eastAsia" w:ascii="宋体" w:hAnsi="宋体" w:eastAsia="宋体" w:cs="宋体"/>
          <w:sz w:val="24"/>
          <w:szCs w:val="24"/>
        </w:rPr>
        <w:t>具备</w:t>
      </w:r>
      <w:r>
        <w:rPr>
          <w:rFonts w:hint="eastAsia" w:ascii="宋体" w:hAnsi="宋体" w:eastAsia="宋体" w:cs="宋体"/>
          <w:kern w:val="0"/>
          <w:sz w:val="24"/>
          <w:szCs w:val="24"/>
          <w:lang w:bidi="ar"/>
        </w:rPr>
        <w:t>页面水印管理功能，可添加、删除水印，并可预览水印配置效果。</w:t>
      </w:r>
    </w:p>
    <w:p w14:paraId="133732A0">
      <w:pPr>
        <w:pStyle w:val="13"/>
        <w:pageBreakBefore w:val="0"/>
        <w:wordWrap/>
        <w:overflowPunct/>
        <w:topLinePunct w:val="0"/>
        <w:bidi w:val="0"/>
        <w:snapToGrid w:val="0"/>
        <w:spacing w:before="0" w:beforeLines="0" w:line="360" w:lineRule="auto"/>
        <w:ind w:firstLine="480"/>
        <w:rPr>
          <w:rFonts w:hint="eastAsia" w:ascii="宋体" w:hAnsi="宋体" w:eastAsia="宋体" w:cs="宋体"/>
          <w:kern w:val="0"/>
          <w:sz w:val="24"/>
          <w:szCs w:val="24"/>
          <w:lang w:bidi="ar"/>
        </w:rPr>
      </w:pPr>
      <w:r>
        <w:rPr>
          <w:rFonts w:hint="eastAsia" w:ascii="宋体" w:hAnsi="宋体" w:eastAsia="宋体" w:cs="宋体"/>
          <w:kern w:val="0"/>
          <w:sz w:val="24"/>
          <w:szCs w:val="24"/>
          <w:lang w:bidi="ar"/>
        </w:rPr>
        <w:t>具备配置页面水印内容功能，包含文字、图片、系统用户名、登陆时间等。</w:t>
      </w:r>
    </w:p>
    <w:p w14:paraId="61B9D974">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黑白名单管理</w:t>
      </w:r>
    </w:p>
    <w:p w14:paraId="7D4DC33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kern w:val="0"/>
          <w:sz w:val="24"/>
          <w:szCs w:val="24"/>
          <w:lang w:bidi="ar"/>
        </w:rPr>
        <w:t>系统可对接数据中心（HDW库），实时同步数据库配置的黑白名单并展示。</w:t>
      </w:r>
    </w:p>
    <w:p w14:paraId="3C41AEEB">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数据安全审计</w:t>
      </w:r>
    </w:p>
    <w:p w14:paraId="521FCE1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对接数据中心HDW库，实时获取审计会话数据进行展示。</w:t>
      </w:r>
    </w:p>
    <w:p w14:paraId="40B0FE04">
      <w:pPr>
        <w:pStyle w:val="13"/>
        <w:pageBreakBefore w:val="0"/>
        <w:numPr>
          <w:ilvl w:val="0"/>
          <w:numId w:val="6"/>
        </w:numPr>
        <w:wordWrap/>
        <w:overflowPunct/>
        <w:topLinePunct w:val="0"/>
        <w:bidi w:val="0"/>
        <w:snapToGrid w:val="0"/>
        <w:spacing w:before="0" w:beforeLines="0" w:line="360" w:lineRule="auto"/>
        <w:ind w:firstLineChars="0"/>
        <w:rPr>
          <w:rFonts w:hint="eastAsia" w:ascii="宋体" w:hAnsi="宋体" w:eastAsia="宋体" w:cs="宋体"/>
          <w:sz w:val="24"/>
          <w:szCs w:val="24"/>
        </w:rPr>
      </w:pPr>
      <w:r>
        <w:rPr>
          <w:rFonts w:hint="eastAsia" w:ascii="宋体" w:hAnsi="宋体" w:eastAsia="宋体" w:cs="宋体"/>
          <w:sz w:val="24"/>
          <w:szCs w:val="24"/>
        </w:rPr>
        <w:t>数据安全概览</w:t>
      </w:r>
    </w:p>
    <w:p w14:paraId="0B0B7AD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rPr>
        <w:t>具备数据安全概览功能，可通过看板统一运维管理。</w:t>
      </w:r>
    </w:p>
    <w:p w14:paraId="1A4C2681">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16" w:name="_Toc213686214"/>
      <w:bookmarkStart w:id="17" w:name="_Toc7582"/>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.2.3.</w:t>
      </w:r>
      <w:r>
        <w:rPr>
          <w:rFonts w:hint="eastAsia" w:ascii="宋体" w:hAnsi="宋体" w:eastAsia="宋体" w:cs="宋体"/>
          <w:sz w:val="24"/>
          <w:szCs w:val="24"/>
        </w:rPr>
        <w:t>统一数据集成</w:t>
      </w:r>
      <w:bookmarkEnd w:id="15"/>
      <w:bookmarkEnd w:id="16"/>
      <w:bookmarkEnd w:id="17"/>
    </w:p>
    <w:p w14:paraId="4CD6A3D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提供数据集成任务的创建、配置和管理，以实现不同数据源之间的数据传输和整合。支持数据转换、清洗和映射等操作，确保数据在集成过程中的准确性和一致性。</w:t>
      </w:r>
    </w:p>
    <w:p w14:paraId="64F3E09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提供数据集成任务的调度和执行，保证数据的按时、按需地进行集成和更新。提供监控和日志管理功能，实时跟踪数据集成任务的执行状态和结果，以及异常和错误的处理。</w:t>
      </w:r>
    </w:p>
    <w:p w14:paraId="71FD7A83">
      <w:pPr>
        <w:pStyle w:val="13"/>
        <w:pageBreakBefore w:val="0"/>
        <w:numPr>
          <w:ilvl w:val="0"/>
          <w:numId w:val="0"/>
        </w:numPr>
        <w:wordWrap/>
        <w:overflowPunct/>
        <w:topLinePunct w:val="0"/>
        <w:bidi w:val="0"/>
        <w:snapToGrid w:val="0"/>
        <w:spacing w:before="0" w:beforeLines="0" w:line="360" w:lineRule="auto"/>
        <w:ind w:firstLine="241" w:firstLineChars="1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4.2.3.1.</w:t>
      </w:r>
      <w:r>
        <w:rPr>
          <w:rFonts w:hint="eastAsia" w:ascii="宋体" w:hAnsi="宋体" w:eastAsia="宋体" w:cs="宋体"/>
          <w:b/>
          <w:bCs/>
          <w:sz w:val="24"/>
          <w:szCs w:val="24"/>
          <w:lang w:bidi="ar"/>
        </w:rPr>
        <w:t>数据源管理</w:t>
      </w:r>
    </w:p>
    <w:p w14:paraId="3AD50FE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支持配置和管理各种数据源，包括关系型数据库、非关系型数据库、文件系统、Web服务、API接口等。</w:t>
      </w:r>
    </w:p>
    <w:p w14:paraId="315D233D">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支持大多数主流关系性数据库，对于多平台数据源数据库同步的支持，例如：SqlServer 、Oracle、Mysql、PostgreSSQL。</w:t>
      </w:r>
    </w:p>
    <w:p w14:paraId="247D200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支持多节点处理（MPP）架构数据源同步，例如：Greenplum。</w:t>
      </w:r>
    </w:p>
    <w:p w14:paraId="5F789D2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支持KAFKA消息服务数据源。</w:t>
      </w:r>
    </w:p>
    <w:p w14:paraId="2C881C2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允许设置数据源的连接信息，包括主机地址、端口号、认证凭据等。提供数据源访问权限管理，确保只有授权用户可以访问和操作数据源。支持对区域或院内数据源分类管理。</w:t>
      </w:r>
    </w:p>
    <w:p w14:paraId="42DBBC03">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b/>
          <w:bCs/>
          <w:sz w:val="24"/>
          <w:szCs w:val="24"/>
          <w:lang w:bidi="ar"/>
        </w:rPr>
      </w:pPr>
      <w:r>
        <w:rPr>
          <w:rFonts w:hint="eastAsia" w:ascii="宋体" w:hAnsi="宋体" w:eastAsia="宋体" w:cs="宋体"/>
          <w:b/>
          <w:bCs/>
          <w:sz w:val="24"/>
          <w:szCs w:val="24"/>
          <w:lang w:val="en-US" w:eastAsia="zh-CN" w:bidi="ar"/>
        </w:rPr>
        <w:t>4.2.3.2.</w:t>
      </w:r>
      <w:r>
        <w:rPr>
          <w:rFonts w:hint="eastAsia" w:ascii="宋体" w:hAnsi="宋体" w:eastAsia="宋体" w:cs="宋体"/>
          <w:b/>
          <w:bCs/>
          <w:sz w:val="24"/>
          <w:szCs w:val="24"/>
          <w:lang w:bidi="ar"/>
        </w:rPr>
        <w:t>作业组管理</w:t>
      </w:r>
    </w:p>
    <w:p w14:paraId="149D699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支持对作业项目分类管理。可按照业务、主题、层级划分和管理分类。</w:t>
      </w:r>
    </w:p>
    <w:p w14:paraId="50041F9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允许用户根据需求创建作业组，并将相关的数据集成任务进行组织和分类。</w:t>
      </w:r>
    </w:p>
    <w:p w14:paraId="1B6AED9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提供作业组的编辑、删除和权限管理功能，以便团队成员协同工作和任务分配。</w:t>
      </w:r>
    </w:p>
    <w:p w14:paraId="2FA097FD">
      <w:pPr>
        <w:pStyle w:val="13"/>
        <w:pageBreakBefore w:val="0"/>
        <w:numPr>
          <w:ilvl w:val="0"/>
          <w:numId w:val="0"/>
        </w:numPr>
        <w:wordWrap/>
        <w:overflowPunct/>
        <w:topLinePunct w:val="0"/>
        <w:bidi w:val="0"/>
        <w:snapToGrid w:val="0"/>
        <w:spacing w:before="0" w:beforeLines="0" w:line="360" w:lineRule="auto"/>
        <w:ind w:firstLine="482" w:firstLineChars="200"/>
        <w:rPr>
          <w:rFonts w:hint="eastAsia" w:ascii="宋体" w:hAnsi="宋体" w:eastAsia="宋体" w:cs="宋体"/>
          <w:sz w:val="24"/>
          <w:szCs w:val="24"/>
          <w:lang w:bidi="ar"/>
        </w:rPr>
      </w:pPr>
      <w:r>
        <w:rPr>
          <w:rFonts w:hint="eastAsia" w:ascii="宋体" w:hAnsi="宋体" w:eastAsia="宋体" w:cs="宋体"/>
          <w:b/>
          <w:bCs/>
          <w:sz w:val="24"/>
          <w:szCs w:val="24"/>
          <w:lang w:val="en-US" w:eastAsia="zh-CN" w:bidi="ar"/>
        </w:rPr>
        <w:t>4.2.3.3.</w:t>
      </w:r>
      <w:r>
        <w:rPr>
          <w:rFonts w:hint="eastAsia" w:ascii="宋体" w:hAnsi="宋体" w:eastAsia="宋体" w:cs="宋体"/>
          <w:b/>
          <w:bCs/>
          <w:sz w:val="24"/>
          <w:szCs w:val="24"/>
          <w:lang w:bidi="ar"/>
        </w:rPr>
        <w:t>作业流程设计</w:t>
      </w:r>
    </w:p>
    <w:p w14:paraId="1BD7112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支持按照作业组分类管理，定义多层级作业或嵌套作业。</w:t>
      </w:r>
    </w:p>
    <w:p w14:paraId="2D8280E5">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提供可视化的界面或图形化工具，用于设计和配置数据集成的作业流程。</w:t>
      </w:r>
    </w:p>
    <w:p w14:paraId="413EA47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支持拖拽和连接节点，以及配置节点的参数、条件和转换规则。</w:t>
      </w:r>
    </w:p>
    <w:p w14:paraId="3A7AC67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具备丰富的数据转换和处理功能，如数据过滤、字段映射、数据清洗、聚合计算等。</w:t>
      </w:r>
    </w:p>
    <w:p w14:paraId="2D2EA90D">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对作业开发、设计和维护，支持多数据源合并输出。</w:t>
      </w:r>
    </w:p>
    <w:p w14:paraId="34ED964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rPr>
      </w:pPr>
      <w:r>
        <w:rPr>
          <w:rFonts w:hint="eastAsia" w:ascii="宋体" w:hAnsi="宋体" w:eastAsia="宋体" w:cs="宋体"/>
          <w:sz w:val="24"/>
          <w:szCs w:val="24"/>
          <w:lang w:bidi="ar"/>
        </w:rPr>
        <w:t>支持消息组件接入，例如接口服务和KFAKA消息采集和输出。服务接口支持一些常规标准化格式，例如，HL7，fhir标准，也可扩展符合标准格式规则。</w:t>
      </w:r>
    </w:p>
    <w:p w14:paraId="499D42A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支持在线调试，展示调试结果和错误信息。</w:t>
      </w:r>
    </w:p>
    <w:p w14:paraId="117DDB25">
      <w:pPr>
        <w:pStyle w:val="13"/>
        <w:pageBreakBefore w:val="0"/>
        <w:numPr>
          <w:ilvl w:val="0"/>
          <w:numId w:val="0"/>
        </w:numPr>
        <w:wordWrap/>
        <w:overflowPunct/>
        <w:topLinePunct w:val="0"/>
        <w:bidi w:val="0"/>
        <w:snapToGrid w:val="0"/>
        <w:spacing w:before="0" w:beforeLines="0" w:line="360" w:lineRule="auto"/>
        <w:ind w:left="0" w:firstLine="482" w:firstLineChars="200"/>
        <w:rPr>
          <w:rFonts w:hint="eastAsia" w:ascii="宋体" w:hAnsi="宋体" w:eastAsia="宋体" w:cs="宋体"/>
          <w:b/>
          <w:bCs/>
          <w:sz w:val="24"/>
          <w:szCs w:val="24"/>
          <w:lang w:val="en-US" w:bidi="ar"/>
        </w:rPr>
      </w:pPr>
      <w:r>
        <w:rPr>
          <w:rFonts w:hint="eastAsia" w:ascii="宋体" w:hAnsi="宋体" w:eastAsia="宋体" w:cs="宋体"/>
          <w:b/>
          <w:bCs/>
          <w:sz w:val="24"/>
          <w:szCs w:val="24"/>
          <w:lang w:val="en-US" w:eastAsia="zh-CN" w:bidi="ar"/>
        </w:rPr>
        <w:t>4.2.4. 抗菌药物临床应用上报</w:t>
      </w:r>
    </w:p>
    <w:p w14:paraId="4239F656">
      <w:pPr>
        <w:pStyle w:val="13"/>
        <w:pageBreakBefore w:val="0"/>
        <w:widowControl w:val="0"/>
        <w:numPr>
          <w:ilvl w:val="0"/>
          <w:numId w:val="0"/>
        </w:numPr>
        <w:kinsoku/>
        <w:wordWrap/>
        <w:overflowPunct/>
        <w:topLinePunct w:val="0"/>
        <w:autoSpaceDE/>
        <w:autoSpaceDN/>
        <w:bidi w:val="0"/>
        <w:adjustRightInd/>
        <w:snapToGrid w:val="0"/>
        <w:spacing w:before="0" w:beforeLines="0" w:beforeAutospacing="0" w:afterAutospacing="0" w:line="360" w:lineRule="auto"/>
        <w:ind w:left="0" w:firstLine="480"/>
        <w:textAlignment w:val="auto"/>
        <w:rPr>
          <w:rFonts w:hint="eastAsia" w:ascii="宋体" w:hAnsi="宋体" w:eastAsia="宋体" w:cs="宋体"/>
          <w:sz w:val="24"/>
          <w:szCs w:val="24"/>
          <w:lang w:val="en-US" w:bidi="ar"/>
        </w:rPr>
      </w:pPr>
      <w:r>
        <w:rPr>
          <w:rFonts w:hint="eastAsia" w:ascii="宋体" w:hAnsi="宋体" w:eastAsia="宋体" w:cs="宋体"/>
          <w:sz w:val="24"/>
          <w:szCs w:val="24"/>
          <w:lang w:val="en-US" w:eastAsia="zh-CN" w:bidi="ar"/>
        </w:rPr>
        <w:t>支持对接国家抗菌药物临床应用监测网，上报抗菌药物使用情况、门诊处方统计情况、急诊处方统计情况及其他相关指标数据。</w:t>
      </w:r>
    </w:p>
    <w:p w14:paraId="7BD475B8">
      <w:pPr>
        <w:pStyle w:val="5"/>
        <w:pageBreakBefore w:val="0"/>
        <w:widowControl w:val="0"/>
        <w:numPr>
          <w:ilvl w:val="1"/>
          <w:numId w:val="0"/>
        </w:numPr>
        <w:kinsoku/>
        <w:wordWrap/>
        <w:overflowPunct/>
        <w:topLinePunct w:val="0"/>
        <w:autoSpaceDE/>
        <w:autoSpaceDN/>
        <w:bidi w:val="0"/>
        <w:adjustRightInd/>
        <w:snapToGrid w:val="0"/>
        <w:spacing w:beforeAutospacing="0" w:after="0" w:afterAutospacing="0" w:line="360" w:lineRule="auto"/>
        <w:ind w:left="648" w:leftChars="228" w:hanging="169" w:hangingChars="70"/>
        <w:textAlignment w:val="auto"/>
        <w:rPr>
          <w:rFonts w:hint="eastAsia" w:ascii="宋体" w:hAnsi="宋体" w:eastAsia="宋体" w:cs="宋体"/>
          <w:color w:val="000000"/>
          <w:kern w:val="0"/>
          <w:sz w:val="24"/>
          <w:szCs w:val="24"/>
        </w:rPr>
      </w:pPr>
      <w:bookmarkStart w:id="18" w:name="_Toc213686215"/>
      <w:r>
        <w:rPr>
          <w:rFonts w:hint="eastAsia" w:ascii="宋体" w:hAnsi="宋体" w:cs="宋体"/>
          <w:b/>
          <w:bCs/>
          <w:color w:val="000000"/>
          <w:kern w:val="0"/>
          <w:sz w:val="24"/>
          <w:szCs w:val="24"/>
          <w:lang w:val="en-US" w:eastAsia="zh-CN" w:bidi="ar-SA"/>
        </w:rPr>
        <w:t>4</w:t>
      </w:r>
      <w:r>
        <w:rPr>
          <w:rFonts w:hint="eastAsia" w:ascii="宋体" w:hAnsi="宋体" w:eastAsia="宋体" w:cs="宋体"/>
          <w:b/>
          <w:bCs/>
          <w:color w:val="000000"/>
          <w:kern w:val="0"/>
          <w:sz w:val="24"/>
          <w:szCs w:val="24"/>
          <w:lang w:val="en-US" w:eastAsia="zh-CN" w:bidi="ar-SA"/>
        </w:rPr>
        <w:t>.3.</w:t>
      </w:r>
      <w:r>
        <w:rPr>
          <w:rFonts w:hint="eastAsia" w:ascii="宋体" w:hAnsi="宋体" w:eastAsia="宋体" w:cs="宋体"/>
          <w:color w:val="000000"/>
          <w:kern w:val="0"/>
          <w:sz w:val="24"/>
          <w:szCs w:val="24"/>
        </w:rPr>
        <w:t>危急值管理平台升级</w:t>
      </w:r>
      <w:bookmarkEnd w:id="18"/>
    </w:p>
    <w:p w14:paraId="3A8F35D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全面完善检查检验危急值管理，出现危急值时系统自动给出报警提示（文字提示、声音提示），系统提供发布危急值通知到临床工作站的功能，同时记录通知人、被通知人、发生时间等信息。</w:t>
      </w:r>
    </w:p>
    <w:p w14:paraId="7E31A118">
      <w:pPr>
        <w:pStyle w:val="13"/>
        <w:pageBreakBefore w:val="0"/>
        <w:widowControl w:val="0"/>
        <w:kinsoku/>
        <w:wordWrap/>
        <w:overflowPunct/>
        <w:topLinePunct w:val="0"/>
        <w:autoSpaceDE/>
        <w:autoSpaceDN/>
        <w:bidi w:val="0"/>
        <w:adjustRightInd/>
        <w:snapToGrid w:val="0"/>
        <w:spacing w:before="0" w:beforeLines="0" w:beforeAutospacing="0" w:afterAutospacing="0" w:line="360" w:lineRule="auto"/>
        <w:ind w:left="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通过医技系统配置，设定危急值上下限，当病人所做的项目结果超过所设置的数值上下限，系统将会自动判断为危急值；仪器产生危急值时，系统要通过科室大屏幕提醒检验人员及时处理及审核超时报警；当危急值发布至临床医护工作站时，系统会通过声音、闪烁图标、弹窗等多种方式自动进行提示，操作人员可通过点击弹窗查看详细危急值信息；护士站相关人员通过系统接收发出的危急值报告，并进行接收确认，并及时告知值班医生或管床医生；当临床科室确认接收并完成危急值信息处理后，系统会自动将危急值的处理的措施记录和过程信息（包含接收科室、接收人、接收时间等）反馈给检验科室；针对危急值回报提供各种统计功能（如月统计回报率）。</w:t>
      </w:r>
    </w:p>
    <w:p w14:paraId="56A07280">
      <w:pPr>
        <w:pStyle w:val="5"/>
        <w:pageBreakBefore w:val="0"/>
        <w:widowControl w:val="0"/>
        <w:numPr>
          <w:ilvl w:val="1"/>
          <w:numId w:val="0"/>
        </w:numPr>
        <w:kinsoku/>
        <w:wordWrap/>
        <w:overflowPunct/>
        <w:topLinePunct w:val="0"/>
        <w:autoSpaceDE/>
        <w:autoSpaceDN/>
        <w:bidi w:val="0"/>
        <w:adjustRightInd/>
        <w:snapToGrid w:val="0"/>
        <w:spacing w:beforeAutospacing="0" w:after="0" w:afterAutospacing="0" w:line="360" w:lineRule="auto"/>
        <w:ind w:left="0" w:leftChars="0" w:firstLine="482" w:firstLineChars="200"/>
        <w:textAlignment w:val="auto"/>
        <w:rPr>
          <w:rFonts w:hint="eastAsia" w:ascii="宋体" w:hAnsi="宋体" w:eastAsia="宋体" w:cs="宋体"/>
          <w:color w:val="000000"/>
          <w:kern w:val="0"/>
          <w:sz w:val="24"/>
          <w:szCs w:val="24"/>
        </w:rPr>
      </w:pPr>
      <w:bookmarkStart w:id="19" w:name="_Toc213686216"/>
      <w:r>
        <w:rPr>
          <w:rFonts w:hint="eastAsia" w:ascii="宋体" w:hAnsi="宋体" w:cs="宋体"/>
          <w:b/>
          <w:bCs/>
          <w:color w:val="000000"/>
          <w:kern w:val="0"/>
          <w:sz w:val="24"/>
          <w:szCs w:val="24"/>
          <w:lang w:val="en-US" w:eastAsia="zh-CN" w:bidi="ar-SA"/>
        </w:rPr>
        <w:t>4</w:t>
      </w:r>
      <w:r>
        <w:rPr>
          <w:rFonts w:hint="eastAsia" w:ascii="宋体" w:hAnsi="宋体" w:eastAsia="宋体" w:cs="宋体"/>
          <w:b/>
          <w:bCs/>
          <w:color w:val="000000"/>
          <w:kern w:val="0"/>
          <w:sz w:val="24"/>
          <w:szCs w:val="24"/>
          <w:lang w:val="en-US" w:eastAsia="zh-CN" w:bidi="ar-SA"/>
        </w:rPr>
        <w:t>.4.</w:t>
      </w:r>
      <w:r>
        <w:rPr>
          <w:rFonts w:hint="eastAsia" w:ascii="宋体" w:hAnsi="宋体" w:eastAsia="宋体" w:cs="宋体"/>
          <w:color w:val="000000"/>
          <w:kern w:val="0"/>
          <w:sz w:val="24"/>
          <w:szCs w:val="24"/>
        </w:rPr>
        <w:t>输血管理系统</w:t>
      </w:r>
      <w:bookmarkEnd w:id="19"/>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升级改造</w:t>
      </w:r>
      <w:r>
        <w:rPr>
          <w:rFonts w:hint="eastAsia" w:ascii="宋体" w:hAnsi="宋体" w:eastAsia="宋体" w:cs="宋体"/>
          <w:color w:val="000000"/>
          <w:kern w:val="0"/>
          <w:sz w:val="24"/>
          <w:szCs w:val="24"/>
          <w:lang w:eastAsia="zh-CN"/>
        </w:rPr>
        <w:t>）</w:t>
      </w:r>
    </w:p>
    <w:p w14:paraId="6EB17895">
      <w:pPr>
        <w:pStyle w:val="13"/>
        <w:pageBreakBefore w:val="0"/>
        <w:widowControl w:val="0"/>
        <w:kinsoku/>
        <w:wordWrap/>
        <w:overflowPunct/>
        <w:topLinePunct w:val="0"/>
        <w:autoSpaceDE/>
        <w:autoSpaceDN/>
        <w:bidi w:val="0"/>
        <w:adjustRightInd/>
        <w:snapToGrid w:val="0"/>
        <w:spacing w:before="0" w:beforeLines="0" w:beforeAutospacing="0" w:afterAutospacing="0" w:line="360" w:lineRule="auto"/>
        <w:ind w:left="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系统从医生开输血申请单，申请单审核、血液出入库管理、血站对接管理均采用标准化、规范化、信息化、智能化，实现受血者信息和输血项目识别的惟一性，确保输血用血的准确、及时、安全，促进输血科的服务质量和管理迈上新台阶。需实现输血科管理、输血申请单管理、护士站输注过程管理等功能。</w:t>
      </w:r>
    </w:p>
    <w:p w14:paraId="481283BE">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20" w:name="_Toc213686217"/>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.4.1.</w:t>
      </w:r>
      <w:r>
        <w:rPr>
          <w:rFonts w:hint="eastAsia" w:ascii="宋体" w:hAnsi="宋体" w:eastAsia="宋体" w:cs="宋体"/>
          <w:sz w:val="24"/>
          <w:szCs w:val="24"/>
        </w:rPr>
        <w:t>输血科管理</w:t>
      </w:r>
      <w:bookmarkEnd w:id="20"/>
    </w:p>
    <w:p w14:paraId="37EE685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1）血袋出入库管理</w:t>
      </w:r>
    </w:p>
    <w:p w14:paraId="5746B811">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具备血袋入库信息化管理功能，包括入库状态、献血码、成分码、血袋品种、规格设置、血型、有效期、制备时间、血型复核、外观检测、血袋来源、负责入库操作人员信息、入库时间、供货单号、存放位置。</w:t>
      </w:r>
    </w:p>
    <w:p w14:paraId="4C5A0EE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具备血袋入库信息参数自由选择配置功能。</w:t>
      </w:r>
    </w:p>
    <w:p w14:paraId="226690D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具备血袋出库信息化管理功能，包括献血码、成份码、血袋品种、规格、血型、出库类型、出库去处、出库原因、出库操作人员信息、出库时间。</w:t>
      </w:r>
    </w:p>
    <w:p w14:paraId="4B55B05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具备新增出库功能，血袋出库信息包括献血码、成分码、出库类型、血袋去处、出库原因、取血者。</w:t>
      </w:r>
    </w:p>
    <w:p w14:paraId="4875F66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具备血袋出库步骤节点显示功能，且具备时间轴显示血袋出库步骤节点功能，能显示步骤名称、操作员、操作时间，时间精确到秒。</w:t>
      </w:r>
    </w:p>
    <w:p w14:paraId="267EA2A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提供多种血袋入库方式，包括手动入库、文件导入、联网导入。</w:t>
      </w:r>
    </w:p>
    <w:p w14:paraId="4E220F6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支持与血站系统对接，实现与血站数据联动。</w:t>
      </w:r>
    </w:p>
    <w:p w14:paraId="70CF48A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2）血型检查鉴定及审核管理</w:t>
      </w:r>
    </w:p>
    <w:p w14:paraId="55C2FCB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具备显示病人验血后的血型鉴定报告结果功能，包括历次历史记录、对应的检测仪器信息。</w:t>
      </w:r>
    </w:p>
    <w:p w14:paraId="0FC9D85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具备显示病人输血前检查报告结果功能。</w:t>
      </w:r>
    </w:p>
    <w:p w14:paraId="439688A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具备血型检查报告双人审核当前流程状态功能。</w:t>
      </w:r>
    </w:p>
    <w:p w14:paraId="38EE4FB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具备检查报告的审核、打印、撤销审核、回收、发布功能。</w:t>
      </w:r>
    </w:p>
    <w:p w14:paraId="20A3555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具备对已做过血型检查，查看已做血型检查报告详情功能，包括报告状态、受血者信息、申请时间、采样时间、签收时间、审核时间。</w:t>
      </w:r>
    </w:p>
    <w:p w14:paraId="5709FE2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具备自动计费管理，在血型检查时自动确认收取血型检查相关费用功能。</w:t>
      </w:r>
    </w:p>
    <w:p w14:paraId="4299FB85">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具备检验全景视图功能，包括在同一界面可视化显示该病人的全部历史报告信息功能、展现每份报告的全流程信息功能、对每个分类的报告结果进行对比查看功能。</w:t>
      </w:r>
    </w:p>
    <w:p w14:paraId="4A364B81">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支持与医院信息系统对接，从系统中直接下载病人信息。</w:t>
      </w:r>
    </w:p>
    <w:p w14:paraId="364B2FF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支持设备仪器自动导入血型鉴定结果功能。</w:t>
      </w:r>
    </w:p>
    <w:p w14:paraId="3774A7A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3）备血发血管理</w:t>
      </w:r>
    </w:p>
    <w:p w14:paraId="0DCA349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具备受血者指标信息显示功能。</w:t>
      </w:r>
    </w:p>
    <w:p w14:paraId="17369CD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具备自动计费管理功能，在发血配血时自动收取血袋费、配血费、辐射虑白灭活等费用。需提供发血时收取血袋费、配血费、辐射虑白灭活费用界面截图证明。</w:t>
      </w:r>
    </w:p>
    <w:p w14:paraId="05B6234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具备撤销发血自动退费功能。</w:t>
      </w:r>
    </w:p>
    <w:p w14:paraId="052D673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具备发血、输血时进行条码扫描核对安全性校验功能。</w:t>
      </w:r>
    </w:p>
    <w:p w14:paraId="7941FDD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支持与临床系统对接，查看临床申请单信息。</w:t>
      </w:r>
    </w:p>
    <w:p w14:paraId="36B9631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具备发血单、交叉配血报告单预览及打印功能。</w:t>
      </w:r>
    </w:p>
    <w:p w14:paraId="1B65EA4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支持与设备仪器对接自动导入交叉配血结果功能。</w:t>
      </w:r>
    </w:p>
    <w:p w14:paraId="0915E9C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4）输血免疫报告</w:t>
      </w:r>
    </w:p>
    <w:p w14:paraId="61E58F9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具备产前免疫、抗体鉴定、Coombs实验、血小板抗体、新生儿、IGg抗A抗B输血免疫报告功能。</w:t>
      </w:r>
    </w:p>
    <w:p w14:paraId="3BC6B33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5）血袋销毁管理</w:t>
      </w:r>
    </w:p>
    <w:p w14:paraId="59EB1C4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具备血袋销毁查询统计功能。</w:t>
      </w:r>
    </w:p>
    <w:p w14:paraId="045CCD9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具备血袋销毁步骤节点显示功能，包括操作步骤、操作人员、操作时间，时间能精确到秒，需提供截图。</w:t>
      </w:r>
    </w:p>
    <w:p w14:paraId="5401E33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支持通过扫描条码、批号实现血袋销毁功能。</w:t>
      </w:r>
    </w:p>
    <w:p w14:paraId="0B4529D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6）自体血管理</w:t>
      </w:r>
    </w:p>
    <w:p w14:paraId="7E60B7E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具备贮存自体登记信息管理功能，包括登记执行状态、病人姓名、性别、年龄、病区、床号、血液类型、计划采血量、采血频率、采血次数、计划采血时间、完成时间、申请单号。</w:t>
      </w:r>
    </w:p>
    <w:p w14:paraId="0E7CA4B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具备贮存自体血袋信息登记功能，包括受血者信息和采血信息，其中采血信息包括血人、采血时间、献血码、成份码、血液品种、血袋规格/单位、血袋血型/单位、失效时间、存放库位。</w:t>
      </w:r>
    </w:p>
    <w:p w14:paraId="7912341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具备术中回流登记信息管理功能，登记信息包括受血者信息和登记信息，其中登记信息包括采血方式、回收时间、保存条件、回输血量、回输时间、有无不良反应。</w:t>
      </w:r>
    </w:p>
    <w:p w14:paraId="71364B2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7）查询/统计</w:t>
      </w:r>
    </w:p>
    <w:p w14:paraId="3BC676B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具备多维度查询统计功能。</w:t>
      </w:r>
    </w:p>
    <w:p w14:paraId="483228F5">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具备临床用血质量指标的数据统计功能，需提供截图。</w:t>
      </w:r>
    </w:p>
    <w:p w14:paraId="6CF58D3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具备用户个性化定制功能。</w:t>
      </w:r>
    </w:p>
    <w:p w14:paraId="0A78F76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8）申请单接收及调阅</w:t>
      </w:r>
    </w:p>
    <w:p w14:paraId="0867343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具备打印申请单的关键信息（含申请单唯一号、病人姓名、病区、床号）功能。</w:t>
      </w:r>
    </w:p>
    <w:p w14:paraId="0EE4A0F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9）领血单管理</w:t>
      </w:r>
    </w:p>
    <w:p w14:paraId="170F74C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具备包括血制品采集、条码绑定、领血单打印、标本运送功能。</w:t>
      </w:r>
    </w:p>
    <w:p w14:paraId="5D42DB0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10）用血审证登记</w:t>
      </w:r>
    </w:p>
    <w:p w14:paraId="0EB70B9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具备医生根据用血审证登记用血者的证明信息，及受血者可用血的血量和血液类型功能。</w:t>
      </w:r>
    </w:p>
    <w:p w14:paraId="385DF5E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11）设备联机</w:t>
      </w:r>
    </w:p>
    <w:p w14:paraId="2CA6BE1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支持与血型检查仪器、配血仪器的联机。</w:t>
      </w:r>
    </w:p>
    <w:p w14:paraId="0EFE57B1">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支持仪器数据双工通讯，完整传输仪器检测信息。</w:t>
      </w:r>
    </w:p>
    <w:p w14:paraId="2189C535">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21" w:name="_Toc213686218"/>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.4.2.</w:t>
      </w:r>
      <w:r>
        <w:rPr>
          <w:rFonts w:hint="eastAsia" w:ascii="宋体" w:hAnsi="宋体" w:eastAsia="宋体" w:cs="宋体"/>
          <w:sz w:val="24"/>
          <w:szCs w:val="24"/>
        </w:rPr>
        <w:t>输血申请单管理</w:t>
      </w:r>
      <w:bookmarkEnd w:id="21"/>
    </w:p>
    <w:p w14:paraId="24D87FE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1）输血前评估（合理性提醒）</w:t>
      </w:r>
    </w:p>
    <w:p w14:paraId="27D6DA2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具备提示医生用血申请功能。</w:t>
      </w:r>
    </w:p>
    <w:p w14:paraId="1FD6B1C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具备根据科室类型、年龄范围、是否手术、是否急救等设定不同评估标准。</w:t>
      </w:r>
    </w:p>
    <w:p w14:paraId="2097B7E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2）输血申请开单</w:t>
      </w:r>
    </w:p>
    <w:p w14:paraId="5E4838E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具备不同输血性质分类选择功能，包括常规用血申请、紧急用血申请、自体采血申请、常规备血申请。</w:t>
      </w:r>
    </w:p>
    <w:p w14:paraId="1AE060B1">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具备用血信息录入功能，包括用血时间、输血目的、输血性质、是否手术、手术名称、手术等级、用血地点。</w:t>
      </w:r>
    </w:p>
    <w:p w14:paraId="65F5B21A">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具备输血成份、输血量选择功能。</w:t>
      </w:r>
    </w:p>
    <w:p w14:paraId="2FFE8B5F">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具备受血者既往史录入功能。</w:t>
      </w:r>
    </w:p>
    <w:p w14:paraId="3D5A6509">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具备调阅受血者检验项目结果信息功能。</w:t>
      </w:r>
    </w:p>
    <w:p w14:paraId="02EDB115">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支持与医院信息系统对接，医生开单时，系统自动识别提醒该受血者是否签署知情同意书。</w:t>
      </w:r>
    </w:p>
    <w:p w14:paraId="62538B4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3）输血后评价</w:t>
      </w:r>
    </w:p>
    <w:p w14:paraId="6CEC043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具备临床医生记录输血后评价信息功能。</w:t>
      </w:r>
    </w:p>
    <w:p w14:paraId="21D06FAC">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支持对未做输血评价的申请单进行提醒功能。</w:t>
      </w:r>
    </w:p>
    <w:p w14:paraId="71652AA5">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22" w:name="_Toc213686219"/>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.4.3.</w:t>
      </w:r>
      <w:r>
        <w:rPr>
          <w:rFonts w:hint="eastAsia" w:ascii="宋体" w:hAnsi="宋体" w:eastAsia="宋体" w:cs="宋体"/>
          <w:sz w:val="24"/>
          <w:szCs w:val="24"/>
        </w:rPr>
        <w:t>输血申请三级审核管理</w:t>
      </w:r>
      <w:bookmarkEnd w:id="22"/>
    </w:p>
    <w:p w14:paraId="220FFA6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具备根据24H输血量提供三级审核制管理功能，包括24H申请量明细查看、输血前检查项目结果查看、审核全流程节点查看。</w:t>
      </w:r>
    </w:p>
    <w:p w14:paraId="2040C7A6">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23" w:name="_Toc213686220"/>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.4.4.</w:t>
      </w:r>
      <w:r>
        <w:rPr>
          <w:rFonts w:hint="eastAsia" w:ascii="宋体" w:hAnsi="宋体" w:eastAsia="宋体" w:cs="宋体"/>
          <w:sz w:val="24"/>
          <w:szCs w:val="24"/>
        </w:rPr>
        <w:t>护士站输注过程管理</w:t>
      </w:r>
      <w:bookmarkEnd w:id="23"/>
    </w:p>
    <w:p w14:paraId="1C3FEA97">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1）备血消息提醒</w:t>
      </w:r>
    </w:p>
    <w:p w14:paraId="2E7F61A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具备消息弹窗提醒备血确认及到血确认功能，包括申请的项目、申请数量、已到血数量等。</w:t>
      </w:r>
    </w:p>
    <w:p w14:paraId="0D9FD9C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2）输注过程记录</w:t>
      </w:r>
    </w:p>
    <w:p w14:paraId="0FB164B8">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输前核对：具备无移动终端时提供电脑终端记录输前核对信息，核对时需进行双人验证功能。支持与移动端对接，实现输血床边核对，确保所领取血袋血液与输注受血者的一致性功能。</w:t>
      </w:r>
    </w:p>
    <w:p w14:paraId="7374C0F2">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输血巡视：具备无移动终端时提供电脑终端巡视信息录入，巡视中出现不良反应自动终止输注并弹出不良反应信息记录界面填写相关信息。支持与移动端对接，实现输血巡视信息的记录功能。</w:t>
      </w:r>
    </w:p>
    <w:p w14:paraId="7BB8074B">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输注结束：具备无移动终端时提供电脑终端记录输血结束的信息录入，需要进行双人验证功能。支持与移动终端对接实现输血结束的信息记录功能。</w:t>
      </w:r>
    </w:p>
    <w:p w14:paraId="723EAC3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3）血袋回收管理</w:t>
      </w:r>
    </w:p>
    <w:p w14:paraId="7F13035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具备血袋回收查询统计功能。</w:t>
      </w:r>
    </w:p>
    <w:p w14:paraId="3EE0E996">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具备血袋回收节点流程展示，并能对各节点进行自由设置的功能，需提供截图。</w:t>
      </w:r>
    </w:p>
    <w:p w14:paraId="12E7D440">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支持通过扫描条码、批号实现血袋回收功能。</w:t>
      </w:r>
    </w:p>
    <w:p w14:paraId="0E6924CE">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4）输血不良反应记录</w:t>
      </w:r>
    </w:p>
    <w:p w14:paraId="5128B63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具备不良反应统计功能。</w:t>
      </w:r>
    </w:p>
    <w:p w14:paraId="798C0323">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具备系统记录确认受血者输血中出现的不良反应功能。</w:t>
      </w:r>
    </w:p>
    <w:p w14:paraId="0C4A5314">
      <w:pPr>
        <w:pStyle w:val="13"/>
        <w:pageBreakBefore w:val="0"/>
        <w:wordWrap/>
        <w:overflowPunct/>
        <w:topLinePunct w:val="0"/>
        <w:bidi w:val="0"/>
        <w:snapToGrid w:val="0"/>
        <w:spacing w:before="0" w:beforeLines="0" w:line="360" w:lineRule="auto"/>
        <w:ind w:firstLine="480"/>
        <w:rPr>
          <w:rFonts w:hint="eastAsia" w:ascii="宋体" w:hAnsi="宋体" w:eastAsia="宋体" w:cs="宋体"/>
          <w:sz w:val="24"/>
          <w:szCs w:val="24"/>
          <w:lang w:bidi="ar"/>
        </w:rPr>
      </w:pPr>
      <w:r>
        <w:rPr>
          <w:rFonts w:hint="eastAsia" w:ascii="宋体" w:hAnsi="宋体" w:eastAsia="宋体" w:cs="宋体"/>
          <w:sz w:val="24"/>
          <w:szCs w:val="24"/>
          <w:lang w:bidi="ar"/>
        </w:rPr>
        <w:t>支持与电子病历系统对接，将受血者不良反应信息通过网络上传至电子病历系统和输血科管理系统功能。</w:t>
      </w:r>
    </w:p>
    <w:p w14:paraId="6C925EF6">
      <w:pPr>
        <w:pStyle w:val="13"/>
        <w:pageBreakBefore w:val="0"/>
        <w:widowControl w:val="0"/>
        <w:kinsoku/>
        <w:wordWrap/>
        <w:overflowPunct/>
        <w:topLinePunct w:val="0"/>
        <w:autoSpaceDE/>
        <w:autoSpaceDN/>
        <w:bidi w:val="0"/>
        <w:adjustRightInd/>
        <w:snapToGrid w:val="0"/>
        <w:spacing w:before="0" w:beforeLines="0" w:beforeAutospacing="0" w:afterAutospacing="0" w:line="360" w:lineRule="auto"/>
        <w:ind w:left="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支持与移动端对接，实现输血不良反应记录功能。</w:t>
      </w:r>
    </w:p>
    <w:p w14:paraId="7B3D0FE7">
      <w:pPr>
        <w:pStyle w:val="5"/>
        <w:pageBreakBefore w:val="0"/>
        <w:widowControl w:val="0"/>
        <w:numPr>
          <w:ilvl w:val="1"/>
          <w:numId w:val="0"/>
        </w:numPr>
        <w:kinsoku/>
        <w:wordWrap/>
        <w:overflowPunct/>
        <w:topLinePunct w:val="0"/>
        <w:autoSpaceDE/>
        <w:autoSpaceDN/>
        <w:bidi w:val="0"/>
        <w:adjustRightInd/>
        <w:snapToGrid w:val="0"/>
        <w:spacing w:beforeAutospacing="0" w:after="0" w:afterAutospacing="0" w:line="360" w:lineRule="auto"/>
        <w:ind w:left="0" w:leftChars="0" w:firstLine="482" w:firstLineChars="200"/>
        <w:textAlignment w:val="auto"/>
        <w:rPr>
          <w:rFonts w:hint="eastAsia" w:ascii="宋体" w:hAnsi="宋体" w:eastAsia="宋体" w:cs="宋体"/>
          <w:color w:val="000000"/>
          <w:kern w:val="0"/>
          <w:sz w:val="24"/>
          <w:szCs w:val="24"/>
        </w:rPr>
      </w:pPr>
      <w:bookmarkStart w:id="24" w:name="_Toc213686221"/>
      <w:r>
        <w:rPr>
          <w:rFonts w:hint="eastAsia" w:ascii="宋体" w:hAnsi="宋体" w:cs="宋体"/>
          <w:b/>
          <w:bCs/>
          <w:color w:val="000000"/>
          <w:kern w:val="0"/>
          <w:sz w:val="24"/>
          <w:szCs w:val="24"/>
          <w:lang w:val="en-US" w:eastAsia="zh-CN" w:bidi="ar-SA"/>
        </w:rPr>
        <w:t>4</w:t>
      </w:r>
      <w:r>
        <w:rPr>
          <w:rFonts w:hint="eastAsia" w:ascii="宋体" w:hAnsi="宋体" w:eastAsia="宋体" w:cs="宋体"/>
          <w:b/>
          <w:bCs/>
          <w:color w:val="000000"/>
          <w:kern w:val="0"/>
          <w:sz w:val="24"/>
          <w:szCs w:val="24"/>
          <w:lang w:val="en-US" w:eastAsia="zh-CN" w:bidi="ar-SA"/>
        </w:rPr>
        <w:t>.5.</w:t>
      </w:r>
      <w:r>
        <w:rPr>
          <w:rFonts w:hint="eastAsia" w:ascii="宋体" w:hAnsi="宋体" w:eastAsia="宋体" w:cs="宋体"/>
          <w:color w:val="000000"/>
          <w:kern w:val="0"/>
          <w:sz w:val="24"/>
          <w:szCs w:val="24"/>
        </w:rPr>
        <w:t>门诊首页管理系统</w:t>
      </w:r>
      <w:bookmarkEnd w:id="24"/>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升级改造</w:t>
      </w:r>
      <w:r>
        <w:rPr>
          <w:rFonts w:hint="eastAsia" w:ascii="宋体" w:hAnsi="宋体" w:eastAsia="宋体" w:cs="宋体"/>
          <w:color w:val="000000"/>
          <w:kern w:val="0"/>
          <w:sz w:val="24"/>
          <w:szCs w:val="24"/>
          <w:lang w:eastAsia="zh-CN"/>
        </w:rPr>
        <w:t>）</w:t>
      </w:r>
    </w:p>
    <w:p w14:paraId="727359CE">
      <w:pPr>
        <w:pStyle w:val="13"/>
        <w:pageBreakBefore w:val="0"/>
        <w:widowControl w:val="0"/>
        <w:kinsoku/>
        <w:wordWrap/>
        <w:overflowPunct/>
        <w:topLinePunct w:val="0"/>
        <w:autoSpaceDE/>
        <w:autoSpaceDN/>
        <w:bidi w:val="0"/>
        <w:adjustRightInd/>
        <w:snapToGrid w:val="0"/>
        <w:spacing w:before="0" w:beforeLines="0" w:beforeAutospacing="0" w:afterAutospacing="0" w:line="360" w:lineRule="auto"/>
        <w:ind w:left="0"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lang w:bidi="ar"/>
        </w:rPr>
        <w:t>按照《病历书写基本规范》填写及生成门诊电子病历，具备全院患者诊疗信息页查询功能，包括患者基本信息、就诊过程信息、诊疗信息以及费用信息等。同时支持导出HQMS格式文件，并按照《门（急）诊诊疗信息页数据采集质量与接口规范》上传至国家医院质量监测系统（HQMS）。</w:t>
      </w:r>
    </w:p>
    <w:p w14:paraId="021B73C7">
      <w:pPr>
        <w:pageBreakBefore w:val="0"/>
        <w:widowControl w:val="0"/>
        <w:tabs>
          <w:tab w:val="left" w:pos="360"/>
        </w:tabs>
        <w:kinsoku/>
        <w:wordWrap/>
        <w:overflowPunct/>
        <w:topLinePunct w:val="0"/>
        <w:autoSpaceDE/>
        <w:autoSpaceDN/>
        <w:bidi w:val="0"/>
        <w:adjustRightInd/>
        <w:spacing w:beforeAutospacing="0" w:afterAutospacing="0" w:line="360" w:lineRule="auto"/>
        <w:ind w:lef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lang w:val="en-US" w:eastAsia="zh-CN"/>
        </w:rPr>
        <w:t>同时支持已建医保相关接口的运行维护工作。</w:t>
      </w:r>
    </w:p>
    <w:p w14:paraId="368CECA0">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25" w:name="_Toc213686222"/>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.5.1.</w:t>
      </w:r>
      <w:r>
        <w:rPr>
          <w:rFonts w:hint="eastAsia" w:ascii="宋体" w:hAnsi="宋体" w:eastAsia="宋体" w:cs="宋体"/>
          <w:sz w:val="24"/>
          <w:szCs w:val="24"/>
        </w:rPr>
        <w:t>全院患者诊疗信息页查询</w:t>
      </w:r>
      <w:bookmarkEnd w:id="25"/>
    </w:p>
    <w:p w14:paraId="2CDAB7D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为了减轻医生的填写时间，在挂号、接诊、诊疗过程中产生数据，可通过手动更新或定时任务方式</w:t>
      </w:r>
      <w:bookmarkStart w:id="26" w:name="_Hlk193445627"/>
      <w:r>
        <w:rPr>
          <w:rFonts w:hint="eastAsia" w:ascii="宋体" w:hAnsi="宋体" w:eastAsia="宋体" w:cs="宋体"/>
          <w:sz w:val="24"/>
          <w:szCs w:val="24"/>
          <w:lang w:eastAsia="zh-CN"/>
        </w:rPr>
        <w:t>由系统自动组成完整的门诊诊疗信息页数据</w:t>
      </w:r>
      <w:bookmarkEnd w:id="26"/>
      <w:r>
        <w:rPr>
          <w:rFonts w:hint="eastAsia" w:ascii="宋体" w:hAnsi="宋体" w:eastAsia="宋体" w:cs="宋体"/>
          <w:sz w:val="24"/>
          <w:szCs w:val="24"/>
          <w:lang w:eastAsia="zh-CN"/>
        </w:rPr>
        <w:t>；</w:t>
      </w:r>
    </w:p>
    <w:p w14:paraId="21F4DA0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患者的基本信息：来源于患者档案，患者档案的准确性，关系到患者每份诊疗信息页的基础信息部分的完整性。</w:t>
      </w:r>
    </w:p>
    <w:p w14:paraId="6C124B4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信息页信息生成：用户打开“诊疗信息页”页签，手动“更新”，通过计算生产，实时查询当前患者已有的诊疗信息页数据；患者结束就诊后，计划任务定时生成：支持补生成门诊首页信息数据：可根据设置开始日期、结束日期，每次生成的天数；由系统定时异步在后台生成。</w:t>
      </w:r>
    </w:p>
    <w:p w14:paraId="3BB53E4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门诊诊疗信息查询：查看全院诊疗信息页生成情况，并可查看患者诊疗信息页详情。</w:t>
      </w:r>
    </w:p>
    <w:p w14:paraId="16F88889">
      <w:pPr>
        <w:pStyle w:val="6"/>
        <w:pageBreakBefore w:val="0"/>
        <w:widowControl w:val="0"/>
        <w:numPr>
          <w:ilvl w:val="2"/>
          <w:numId w:val="0"/>
        </w:numPr>
        <w:kinsoku/>
        <w:wordWrap/>
        <w:overflowPunct/>
        <w:topLinePunct w:val="0"/>
        <w:autoSpaceDE/>
        <w:autoSpaceDN/>
        <w:bidi w:val="0"/>
        <w:adjustRightInd/>
        <w:snapToGrid w:val="0"/>
        <w:spacing w:before="0" w:beforeAutospacing="0" w:after="0" w:afterAutospacing="0" w:line="360" w:lineRule="auto"/>
        <w:ind w:left="0" w:leftChars="0" w:firstLine="482" w:firstLineChars="200"/>
        <w:jc w:val="both"/>
        <w:textAlignment w:val="auto"/>
        <w:rPr>
          <w:rFonts w:hint="eastAsia" w:ascii="宋体" w:hAnsi="宋体" w:eastAsia="宋体" w:cs="宋体"/>
          <w:sz w:val="24"/>
          <w:szCs w:val="24"/>
        </w:rPr>
      </w:pPr>
      <w:bookmarkStart w:id="27" w:name="_Toc213686223"/>
      <w:r>
        <w:rPr>
          <w:rFonts w:hint="eastAsia" w:ascii="宋体" w:hAnsi="宋体" w:cs="宋体"/>
          <w:b/>
          <w:kern w:val="2"/>
          <w:sz w:val="24"/>
          <w:szCs w:val="24"/>
          <w:lang w:val="en-US" w:eastAsia="zh-CN" w:bidi="ar-SA"/>
        </w:rPr>
        <w:t>4</w:t>
      </w:r>
      <w:r>
        <w:rPr>
          <w:rFonts w:hint="eastAsia" w:ascii="宋体" w:hAnsi="宋体" w:eastAsia="宋体" w:cs="宋体"/>
          <w:b/>
          <w:kern w:val="2"/>
          <w:sz w:val="24"/>
          <w:szCs w:val="24"/>
          <w:lang w:val="en-US" w:eastAsia="zh-CN" w:bidi="ar-SA"/>
        </w:rPr>
        <w:t>.5.2.</w:t>
      </w:r>
      <w:r>
        <w:rPr>
          <w:rFonts w:hint="eastAsia" w:ascii="宋体" w:hAnsi="宋体" w:eastAsia="宋体" w:cs="宋体"/>
          <w:sz w:val="24"/>
          <w:szCs w:val="24"/>
        </w:rPr>
        <w:t>导出HQMS格式文件</w:t>
      </w:r>
      <w:bookmarkEnd w:id="27"/>
    </w:p>
    <w:p w14:paraId="24EBB5E7">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系统支持按门诊HQMS标准格式导出 .csv文件；供管理部门上报使用。</w:t>
      </w:r>
    </w:p>
    <w:p w14:paraId="00E3D0AE">
      <w:pPr>
        <w:pStyle w:val="5"/>
        <w:pageBreakBefore w:val="0"/>
        <w:widowControl w:val="0"/>
        <w:numPr>
          <w:ilvl w:val="1"/>
          <w:numId w:val="0"/>
        </w:numPr>
        <w:kinsoku/>
        <w:wordWrap/>
        <w:overflowPunct/>
        <w:topLinePunct w:val="0"/>
        <w:autoSpaceDE/>
        <w:autoSpaceDN/>
        <w:bidi w:val="0"/>
        <w:adjustRightInd/>
        <w:snapToGrid w:val="0"/>
        <w:spacing w:before="0" w:beforeAutospacing="0" w:after="0" w:afterAutospacing="0" w:line="360" w:lineRule="auto"/>
        <w:ind w:left="0" w:leftChars="0" w:firstLine="482" w:firstLineChars="200"/>
        <w:textAlignment w:val="auto"/>
        <w:rPr>
          <w:rFonts w:hint="eastAsia" w:ascii="宋体" w:hAnsi="宋体" w:eastAsia="宋体" w:cs="宋体"/>
          <w:color w:val="000000"/>
          <w:kern w:val="0"/>
          <w:sz w:val="24"/>
          <w:szCs w:val="24"/>
        </w:rPr>
      </w:pPr>
      <w:bookmarkStart w:id="28" w:name="_Toc213686224"/>
      <w:r>
        <w:rPr>
          <w:rFonts w:hint="eastAsia" w:ascii="宋体" w:hAnsi="宋体" w:cs="宋体"/>
          <w:b/>
          <w:bCs/>
          <w:color w:val="000000"/>
          <w:kern w:val="0"/>
          <w:sz w:val="24"/>
          <w:szCs w:val="24"/>
          <w:lang w:val="en-US" w:eastAsia="zh-CN" w:bidi="ar-SA"/>
        </w:rPr>
        <w:t>4</w:t>
      </w:r>
      <w:r>
        <w:rPr>
          <w:rFonts w:hint="eastAsia" w:ascii="宋体" w:hAnsi="宋体" w:eastAsia="宋体" w:cs="宋体"/>
          <w:b/>
          <w:bCs/>
          <w:color w:val="000000"/>
          <w:kern w:val="0"/>
          <w:sz w:val="24"/>
          <w:szCs w:val="24"/>
          <w:lang w:val="en-US" w:eastAsia="zh-CN" w:bidi="ar-SA"/>
        </w:rPr>
        <w:t>.6.</w:t>
      </w:r>
      <w:r>
        <w:rPr>
          <w:rFonts w:hint="eastAsia" w:ascii="宋体" w:hAnsi="宋体" w:eastAsia="宋体" w:cs="宋体"/>
          <w:color w:val="000000"/>
          <w:kern w:val="0"/>
          <w:sz w:val="24"/>
          <w:szCs w:val="24"/>
        </w:rPr>
        <w:t>国家传染病上传</w:t>
      </w:r>
      <w:bookmarkEnd w:id="28"/>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升级改造</w:t>
      </w:r>
      <w:r>
        <w:rPr>
          <w:rFonts w:hint="eastAsia" w:ascii="宋体" w:hAnsi="宋体" w:eastAsia="宋体" w:cs="宋体"/>
          <w:color w:val="000000"/>
          <w:kern w:val="0"/>
          <w:sz w:val="24"/>
          <w:szCs w:val="24"/>
          <w:lang w:eastAsia="zh-CN"/>
        </w:rPr>
        <w:t>）</w:t>
      </w:r>
    </w:p>
    <w:p w14:paraId="7B34C4CC">
      <w:pPr>
        <w:pageBreakBefore w:val="0"/>
        <w:widowControl w:val="0"/>
        <w:kinsoku/>
        <w:wordWrap/>
        <w:overflowPunct/>
        <w:topLinePunct w:val="0"/>
        <w:autoSpaceDE/>
        <w:autoSpaceDN/>
        <w:bidi w:val="0"/>
        <w:adjustRightInd/>
        <w:snapToGrid w:val="0"/>
        <w:spacing w:beforeAutospacing="0" w:afterAutospacing="0"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按照国家传染病智能监测预警前置软件对接要求，需要实现HIS系统与国家前置软件的数据同步与交互应用。涉及HIS系统升级改造如下：</w:t>
      </w:r>
    </w:p>
    <w:p w14:paraId="4E823FF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患者基本信息表数据操作API接口：当患者在医院信息系统发生诊疗活动时，医院信息系统将患者基本信息按对应表结构实时同步到前置软件，一名患者一次就诊，基本信息只需要同步一次。</w:t>
      </w:r>
    </w:p>
    <w:p w14:paraId="45B6D22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诊疗活动信息表数据操作API接口：当临床医生在医院信息系统中保存诊断信息后，医院信息系统按此表的数据项实时组织数据，并将数据同步到对应表中，前置软件监听此表的变化做出相应业务处理。 </w:t>
      </w:r>
    </w:p>
    <w:p w14:paraId="0B82C6F3">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传染病报告卡数据操作API接口：院内已具备传染病报告卡生成和实时同步能力的医疗机构，可按对应表结构同步传染病报告卡信息。</w:t>
      </w:r>
    </w:p>
    <w:p w14:paraId="6D60E1B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门(急)诊病历表数据操作：当临床医生在医院信息系统保存门诊、急诊诊疗信息后，医院信息系统将门诊、急诊信息按 T+0（当日）频度同步到前置软件的对应表中。</w:t>
      </w:r>
    </w:p>
    <w:p w14:paraId="3133972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门（急）诊留观记录表数据操作API接口：当临床医生在医院信息系统保存急诊留观信息后，医院信息系统将急诊留观信息按 T+0（当日）频度同步到前置软件的对应表中。</w:t>
      </w:r>
    </w:p>
    <w:p w14:paraId="1EC4AA7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入院记录表数据操作API接口：当病房医生在医院信息系统保存入院记录信息后，医院信息系统将入院信息按 T+0（当日）频度同步到前置软件的对应表中。</w:t>
      </w:r>
    </w:p>
    <w:p w14:paraId="3E8853C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住院首次病程记录表数据操作API接口：当病房医生在医院信息系统保存住院首次病程记录信息后，医院信息系统将信息按 T+0（当日）频度同步到前置软件的对应表中。</w:t>
      </w:r>
    </w:p>
    <w:p w14:paraId="6675FCA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住院日常病程记录表数据操作API接口：当病房医生在医院信息系统保存住院日常病程记录信息后，医院信息系统将信息按 T+0（当日）频度同步到前置软件的对应中。</w:t>
      </w:r>
    </w:p>
    <w:p w14:paraId="42284D4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住院病案首页表数据操作API接口：当病房医生在医院信息系统保存住院病案首页信息后，医院信息系统将信息按 T+0（当日）频度同步到前置软件的对应表中。</w:t>
      </w:r>
    </w:p>
    <w:p w14:paraId="144F598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出院记录表数据操作API接口：当病房医生在医院信息系统保存出院记录信息后，医院信息系统将信息按 T+0（当日）频度同步到前置软件的对应表中。</w:t>
      </w:r>
    </w:p>
    <w:p w14:paraId="4030D3C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检查报告表数据操作API接口：医院信息系统按此表及其子表“检查报告项目表”的结构组织数据，并将数据按T+0（当日）频度同步到对应表及其子表“检查报告项目表”中。</w:t>
      </w:r>
    </w:p>
    <w:p w14:paraId="68E1B77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检查报告项目表数据操作API接口：用于接收检查详细结果信息。医院信息系统按此表及其主表“检查报告表”的结构组织数据，并将数据按T+0（当日）频度同步到对应表及其主表“检 查报告表”中。</w:t>
      </w:r>
    </w:p>
    <w:p w14:paraId="5C585FB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检验报告表数据操作API接口：医院信息系统按此表及其子表 “检验报告项目表”的结构组织数据，并将数据按T+0（当日）频度同步到对应表及其子表“检 验报告项目表”中。</w:t>
      </w:r>
    </w:p>
    <w:p w14:paraId="2117C19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检验报告项目表数据操作API接口：医院信息系统按此表及其主表“检验报告表”的结构组织数据，并将数据按T+0（当日）频度同步到此表及其主表“检 验报告表”中。传输检验项目前，需由前置软件管理员登录前置软件的编码对照模块，进行检验项目编码映射。</w:t>
      </w:r>
    </w:p>
    <w:p w14:paraId="37469F1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医嘱处方信息表数据操作API接口：当临床医生在医院信息系统保存医嘱信息后，医院信息系统将处方信息按 T+0（当日）频度同步到前置软件的对应表中。</w:t>
      </w:r>
    </w:p>
    <w:p w14:paraId="2796D1F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医嘱处方条目表数据操作API接口：当临床医生在医院信息系统保存医嘱信息后，医院信息系统将处方详细信息按 T+0（当日）频度同步到前置软件的此表中。本项目只同步抗病毒药物，抗菌药物、退烧药、止咳药、艾滋病药物、结核病药物、血吸虫病药物对应的医嘱处方信息。</w:t>
      </w:r>
    </w:p>
    <w:p w14:paraId="5FDA2D59">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死亡信息表数据操作API接口：当患者死亡时，医院信息系统按此表结构组织患者死亡信息，并按 T+0（当日）的频度同步到对应表中。</w:t>
      </w:r>
    </w:p>
    <w:p w14:paraId="7CD3A241">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生命体征护理记录单数据操作API接口：当护理记录单产生时，医院信息系统按此表结构组织患者信息，并按 T+0（当日）的频度同步到对应表中。</w:t>
      </w:r>
    </w:p>
    <w:p w14:paraId="25BC77A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全院用户信息表数据操作API接口：医院信息系统用户信息表需覆盖所有参与诊疗活动的用户。当医生具有多个院区、多个科室的权限时，须传输多条，每条数据的用户ID 可以相同， 以“用 户 ID+所属机构+所属科室 ”进行区分。</w:t>
      </w:r>
    </w:p>
    <w:p w14:paraId="444053C5">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获取私钥 API接口：通过医疗机构的授权码 license，获取 API Secret Key 私钥，在调用单点登录时携带该 Key 值，实现单点登录。 </w:t>
      </w:r>
    </w:p>
    <w:p w14:paraId="32344818">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接口通过医院信息系统的 B 端（B/S 系统）或 C 端（C/S 系统），调用医生电脑的前置软件客户端的 API 接口。</w:t>
      </w:r>
    </w:p>
    <w:p w14:paraId="1A56E136">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单点登录API接口：根据获取私钥 API 接口获得的 secretKey，加上用户 id，实现单点登录。集成单点登录 API 接口的前提是，医疗同步。接口通过医院信息系统的 B 端（B/S 系统）或 C 端（C/S 系统），调用医生电脑的前置软件客户端的 API 接口。</w:t>
      </w:r>
    </w:p>
    <w:p w14:paraId="24A38E8C">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获取私钥API接口：通过医疗机构的授权码license ，获取 API Secret Key 私钥，在调用消息查阅接口时携带私钥，实现安全认证。私钥有效期为 7 天。</w:t>
      </w:r>
    </w:p>
    <w:p w14:paraId="04877D5F">
      <w:pPr>
        <w:pageBreakBefore w:val="0"/>
        <w:kinsoku/>
        <w:wordWrap/>
        <w:overflowPunct/>
        <w:topLinePunct w:val="0"/>
        <w:autoSpaceDE/>
        <w:autoSpaceDN/>
        <w:bidi w:val="0"/>
        <w:snapToGrid w:val="0"/>
        <w:spacing w:beforeAutospacing="0" w:afterAutospacing="0" w:line="360" w:lineRule="auto"/>
        <w:ind w:left="0"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lang w:eastAsia="zh-CN"/>
        </w:rPr>
        <w:t>消息查询API接口：医疗机构携带 API Secret Key 私钥和查询条件，调阅前置软件产生的消息提醒。</w:t>
      </w:r>
    </w:p>
    <w:p w14:paraId="26F684E0">
      <w:pPr>
        <w:pageBreakBefore w:val="0"/>
        <w:widowControl/>
        <w:kinsoku/>
        <w:wordWrap/>
        <w:overflowPunct/>
        <w:topLinePunct w:val="0"/>
        <w:autoSpaceDE/>
        <w:autoSpaceDN/>
        <w:bidi w:val="0"/>
        <w:adjustRightInd w:val="0"/>
        <w:snapToGrid w:val="0"/>
        <w:spacing w:beforeAutospacing="0" w:afterAutospacing="0" w:line="360" w:lineRule="auto"/>
        <w:ind w:left="0" w:firstLine="482"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）项目</w:t>
      </w:r>
      <w:r>
        <w:rPr>
          <w:rFonts w:hint="eastAsia" w:ascii="宋体" w:hAnsi="宋体" w:eastAsia="宋体" w:cs="宋体"/>
          <w:b/>
          <w:color w:val="auto"/>
          <w:sz w:val="24"/>
          <w:szCs w:val="24"/>
          <w:highlight w:val="none"/>
          <w:lang w:eastAsia="zh-CN"/>
        </w:rPr>
        <w:t>管理</w:t>
      </w:r>
      <w:r>
        <w:rPr>
          <w:rFonts w:hint="eastAsia" w:ascii="宋体" w:hAnsi="宋体" w:eastAsia="宋体" w:cs="宋体"/>
          <w:b/>
          <w:color w:val="auto"/>
          <w:sz w:val="24"/>
          <w:szCs w:val="24"/>
          <w:highlight w:val="none"/>
        </w:rPr>
        <w:t>要求</w:t>
      </w:r>
    </w:p>
    <w:p w14:paraId="24FD026E">
      <w:pPr>
        <w:pStyle w:val="5"/>
        <w:pageBreakBefore w:val="0"/>
        <w:numPr>
          <w:ilvl w:val="1"/>
          <w:numId w:val="0"/>
        </w:numPr>
        <w:kinsoku/>
        <w:wordWrap/>
        <w:overflowPunct/>
        <w:topLinePunct w:val="0"/>
        <w:autoSpaceDE/>
        <w:autoSpaceDN/>
        <w:bidi w:val="0"/>
        <w:snapToGrid w:val="0"/>
        <w:spacing w:beforeAutospacing="0" w:afterAutospacing="0" w:line="360" w:lineRule="auto"/>
        <w:ind w:left="0" w:leftChars="0" w:firstLine="482" w:firstLineChars="200"/>
        <w:textAlignment w:val="auto"/>
        <w:rPr>
          <w:rFonts w:hint="eastAsia" w:ascii="宋体" w:hAnsi="宋体" w:eastAsia="宋体" w:cs="宋体"/>
          <w:color w:val="000000"/>
          <w:kern w:val="0"/>
          <w:sz w:val="24"/>
          <w:szCs w:val="24"/>
        </w:rPr>
      </w:pPr>
      <w:bookmarkStart w:id="29" w:name="_Toc213686226"/>
      <w:bookmarkStart w:id="30" w:name="_Toc136350601"/>
      <w:r>
        <w:rPr>
          <w:rFonts w:hint="eastAsia" w:ascii="宋体" w:hAnsi="宋体" w:cs="宋体"/>
          <w:b/>
          <w:bCs/>
          <w:color w:val="000000"/>
          <w:kern w:val="0"/>
          <w:sz w:val="24"/>
          <w:szCs w:val="24"/>
          <w:lang w:val="en-US" w:eastAsia="zh-CN" w:bidi="ar-SA"/>
        </w:rPr>
        <w:t>5</w:t>
      </w:r>
      <w:r>
        <w:rPr>
          <w:rFonts w:hint="eastAsia" w:ascii="宋体" w:hAnsi="宋体" w:eastAsia="宋体" w:cs="宋体"/>
          <w:b/>
          <w:bCs/>
          <w:color w:val="000000"/>
          <w:kern w:val="0"/>
          <w:sz w:val="24"/>
          <w:szCs w:val="24"/>
          <w:lang w:val="en-US" w:eastAsia="zh-CN" w:bidi="ar-SA"/>
        </w:rPr>
        <w:t>.1.</w:t>
      </w:r>
      <w:r>
        <w:rPr>
          <w:rFonts w:hint="eastAsia" w:ascii="宋体" w:hAnsi="宋体" w:eastAsia="宋体" w:cs="宋体"/>
          <w:color w:val="000000"/>
          <w:kern w:val="0"/>
          <w:sz w:val="24"/>
          <w:szCs w:val="24"/>
        </w:rPr>
        <w:t>项目实施要求</w:t>
      </w:r>
      <w:bookmarkEnd w:id="29"/>
      <w:bookmarkEnd w:id="30"/>
    </w:p>
    <w:p w14:paraId="445658C8">
      <w:pPr>
        <w:pStyle w:val="15"/>
        <w:snapToGrid w:val="0"/>
        <w:spacing w:line="360" w:lineRule="auto"/>
        <w:ind w:firstLine="560" w:firstLineChars="0"/>
        <w:rPr>
          <w:rFonts w:hint="eastAsia" w:ascii="宋体" w:hAnsi="宋体" w:eastAsia="宋体" w:cs="宋体"/>
          <w:sz w:val="24"/>
          <w:szCs w:val="24"/>
          <w:lang w:eastAsia="zh-CN"/>
        </w:rPr>
      </w:pPr>
      <w:r>
        <w:rPr>
          <w:rFonts w:hint="eastAsia" w:ascii="宋体" w:hAnsi="宋体" w:eastAsia="宋体" w:cs="宋体"/>
          <w:sz w:val="24"/>
          <w:szCs w:val="24"/>
        </w:rPr>
        <w:t>提供项目实施管理方案，至少包含科学合理的方案、符合规程要求，有效、完整、职责明确，方案阐述详细、明确、针对性强，质量过程控制严密，且包含各阶段工作进度安排、按时限完成的保障措施、进度落后时的挽回措施等</w:t>
      </w:r>
      <w:r>
        <w:rPr>
          <w:rFonts w:hint="eastAsia" w:ascii="宋体" w:hAnsi="宋体" w:cs="宋体"/>
          <w:sz w:val="24"/>
          <w:szCs w:val="24"/>
          <w:lang w:eastAsia="zh-CN"/>
        </w:rPr>
        <w:t>。</w:t>
      </w:r>
    </w:p>
    <w:p w14:paraId="5B424AEF">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31" w:name="_Toc213686227"/>
      <w:bookmarkStart w:id="32" w:name="_Toc136350603"/>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.1.1.</w:t>
      </w:r>
      <w:r>
        <w:rPr>
          <w:rFonts w:hint="eastAsia" w:ascii="宋体" w:hAnsi="宋体" w:eastAsia="宋体" w:cs="宋体"/>
          <w:sz w:val="24"/>
          <w:szCs w:val="24"/>
        </w:rPr>
        <w:t>项目组织和人员要求</w:t>
      </w:r>
      <w:bookmarkEnd w:id="31"/>
      <w:bookmarkEnd w:id="32"/>
    </w:p>
    <w:p w14:paraId="31329804">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为使系统建设按质、按量、按时及有序实施，投标人对本项目必须有一个完善和稳定的管理组织机构。投入的人员为投标单位正式员工，提供姓名、开标日前三个月中任意一个月的由投标单位为投入人员缴纳社会保险证明扫描件。</w:t>
      </w:r>
    </w:p>
    <w:p w14:paraId="251FE43E">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（1）项目经理</w:t>
      </w:r>
    </w:p>
    <w:p w14:paraId="2A63FBD8">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驻场项目经理1名</w:t>
      </w:r>
      <w:r>
        <w:rPr>
          <w:rFonts w:hint="eastAsia" w:ascii="宋体" w:hAnsi="宋体" w:eastAsia="宋体" w:cs="宋体"/>
          <w:sz w:val="24"/>
          <w:szCs w:val="24"/>
          <w:lang w:val="en-US" w:eastAsia="zh-CN"/>
        </w:rPr>
        <w:t>需</w:t>
      </w:r>
      <w:r>
        <w:rPr>
          <w:rFonts w:hint="eastAsia" w:ascii="宋体" w:hAnsi="宋体" w:eastAsia="宋体" w:cs="宋体"/>
          <w:sz w:val="24"/>
          <w:szCs w:val="24"/>
        </w:rPr>
        <w:t>具备类似项目的项目管理经验，</w:t>
      </w:r>
      <w:r>
        <w:rPr>
          <w:rFonts w:hint="eastAsia" w:ascii="宋体" w:hAnsi="宋体" w:eastAsia="宋体" w:cs="宋体"/>
          <w:sz w:val="24"/>
          <w:szCs w:val="24"/>
          <w:lang w:val="en-US" w:eastAsia="zh-CN"/>
        </w:rPr>
        <w:t>需</w:t>
      </w:r>
      <w:r>
        <w:rPr>
          <w:rFonts w:hint="eastAsia" w:ascii="宋体" w:hAnsi="宋体" w:eastAsia="宋体" w:cs="宋体"/>
          <w:sz w:val="24"/>
          <w:szCs w:val="24"/>
        </w:rPr>
        <w:t>具备高级工程师职称证书、人力资源部门或工业信息化部门颁发的信息系统项目管理师证书</w:t>
      </w:r>
      <w:r>
        <w:rPr>
          <w:rFonts w:hint="eastAsia" w:ascii="宋体" w:hAnsi="宋体" w:eastAsia="宋体" w:cs="宋体"/>
          <w:sz w:val="24"/>
          <w:szCs w:val="24"/>
          <w:lang w:eastAsia="zh-CN"/>
        </w:rPr>
        <w:t>。中标人</w:t>
      </w:r>
      <w:r>
        <w:rPr>
          <w:rFonts w:hint="eastAsia" w:ascii="宋体" w:hAnsi="宋体" w:eastAsia="宋体" w:cs="宋体"/>
          <w:sz w:val="24"/>
          <w:szCs w:val="24"/>
        </w:rPr>
        <w:t>如中途更换项目经理，须征得用户同意。</w:t>
      </w:r>
    </w:p>
    <w:p w14:paraId="342CBF42">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（2）项目团队要求</w:t>
      </w:r>
    </w:p>
    <w:p w14:paraId="63828B6F">
      <w:pPr>
        <w:pStyle w:val="15"/>
        <w:spacing w:line="360" w:lineRule="auto"/>
        <w:ind w:firstLine="560"/>
        <w:rPr>
          <w:rFonts w:hint="eastAsia" w:ascii="宋体" w:hAnsi="宋体" w:eastAsia="宋体" w:cs="宋体"/>
          <w:sz w:val="24"/>
          <w:szCs w:val="24"/>
        </w:rPr>
      </w:pPr>
      <w:r>
        <w:rPr>
          <w:rFonts w:hint="eastAsia" w:ascii="宋体" w:hAnsi="宋体" w:eastAsia="宋体" w:cs="宋体"/>
          <w:sz w:val="24"/>
          <w:szCs w:val="24"/>
        </w:rPr>
        <w:t>提供团队构成需包括项目经理、需求分析人员、技术负责人、开发人员、测试人员、实施人员、文档管理维护人员和质量保障人员。技术负责人1名，</w:t>
      </w:r>
      <w:r>
        <w:rPr>
          <w:rFonts w:hint="eastAsia" w:ascii="宋体" w:hAnsi="宋体" w:eastAsia="宋体" w:cs="宋体"/>
          <w:sz w:val="24"/>
          <w:szCs w:val="24"/>
          <w:lang w:val="en-US" w:eastAsia="zh-CN"/>
        </w:rPr>
        <w:t>需</w:t>
      </w:r>
      <w:r>
        <w:rPr>
          <w:rFonts w:hint="eastAsia" w:ascii="宋体" w:hAnsi="宋体" w:eastAsia="宋体" w:cs="宋体"/>
          <w:sz w:val="24"/>
          <w:szCs w:val="24"/>
        </w:rPr>
        <w:t>具备人力资源部门或工业信息化部门颁发的信息系统项目管理师证书。团队成员中至少4名</w:t>
      </w:r>
      <w:r>
        <w:rPr>
          <w:rFonts w:hint="eastAsia" w:ascii="宋体" w:hAnsi="宋体" w:eastAsia="宋体" w:cs="宋体"/>
          <w:sz w:val="24"/>
          <w:szCs w:val="24"/>
          <w:lang w:val="en-US" w:eastAsia="zh-CN"/>
        </w:rPr>
        <w:t>需</w:t>
      </w:r>
      <w:r>
        <w:rPr>
          <w:rFonts w:hint="eastAsia" w:ascii="宋体" w:hAnsi="宋体" w:eastAsia="宋体" w:cs="宋体"/>
          <w:sz w:val="24"/>
          <w:szCs w:val="24"/>
        </w:rPr>
        <w:t>具备人力资源部门或工业信息化部门颁发的系统集成项目管理工程师证书或ITSS IT服务工程师证书。上述人员均不可兼任。</w:t>
      </w:r>
    </w:p>
    <w:p w14:paraId="5ABD1127">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在系统建设和质保期内，中标方承诺的项目负责人和开发实施的主要人员未经用户书面同意不得调整。</w:t>
      </w:r>
    </w:p>
    <w:p w14:paraId="60AB2FC5">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为了验证项目中的质量保证活动是否符合计划要求，同时检查质量保证体系的有效性，以不断完善质量保证体系，</w:t>
      </w:r>
      <w:r>
        <w:rPr>
          <w:rFonts w:hint="eastAsia" w:ascii="宋体" w:hAnsi="宋体" w:eastAsia="宋体" w:cs="宋体"/>
          <w:sz w:val="24"/>
          <w:szCs w:val="24"/>
          <w:lang w:eastAsia="zh-CN"/>
        </w:rPr>
        <w:t>中标人</w:t>
      </w:r>
      <w:r>
        <w:rPr>
          <w:rFonts w:hint="eastAsia" w:ascii="宋体" w:hAnsi="宋体" w:eastAsia="宋体" w:cs="宋体"/>
          <w:sz w:val="24"/>
          <w:szCs w:val="24"/>
        </w:rPr>
        <w:t>内部建立全面的审核制度，配备专门的质量保证人员开展质量保证活动。</w:t>
      </w:r>
    </w:p>
    <w:p w14:paraId="64CFF974">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项目建设期间，中标方必须设置专人在项目建设期间对文档进行检查和管理，项目最终验收后全部移交采购人。</w:t>
      </w:r>
    </w:p>
    <w:p w14:paraId="15A651C3">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33" w:name="_Toc23878885"/>
      <w:bookmarkStart w:id="34" w:name="_Toc213686228"/>
      <w:bookmarkStart w:id="35" w:name="_Toc35611363"/>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.1.2.</w:t>
      </w:r>
      <w:r>
        <w:rPr>
          <w:rFonts w:hint="eastAsia" w:ascii="宋体" w:hAnsi="宋体" w:eastAsia="宋体" w:cs="宋体"/>
          <w:sz w:val="24"/>
          <w:szCs w:val="24"/>
        </w:rPr>
        <w:t>项目开发</w:t>
      </w:r>
      <w:bookmarkEnd w:id="33"/>
      <w:r>
        <w:rPr>
          <w:rFonts w:hint="eastAsia" w:ascii="宋体" w:hAnsi="宋体" w:eastAsia="宋体" w:cs="宋体"/>
          <w:sz w:val="24"/>
          <w:szCs w:val="24"/>
        </w:rPr>
        <w:t>与部署</w:t>
      </w:r>
      <w:bookmarkEnd w:id="34"/>
      <w:bookmarkEnd w:id="35"/>
    </w:p>
    <w:p w14:paraId="4F27221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在系统的开发过程要符合研发管理规范：包括调研、设计、测试等。</w:t>
      </w:r>
    </w:p>
    <w:p w14:paraId="0D4D4A7A">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项目部署方式的要求：简化在项目实施过程中的部署步骤，支持快捷、可复制性。</w:t>
      </w:r>
    </w:p>
    <w:p w14:paraId="18CB5A74">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对交付物的要求：具备在项目开发过程中的调研文档、设计文档等，具备在实施过程中的用户手册等。</w:t>
      </w:r>
    </w:p>
    <w:p w14:paraId="18EE8336">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36" w:name="_Toc213686229"/>
      <w:bookmarkStart w:id="37" w:name="_Toc136350604"/>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.1.3.</w:t>
      </w:r>
      <w:r>
        <w:rPr>
          <w:rFonts w:hint="eastAsia" w:ascii="宋体" w:hAnsi="宋体" w:eastAsia="宋体" w:cs="宋体"/>
          <w:sz w:val="24"/>
          <w:szCs w:val="24"/>
        </w:rPr>
        <w:t>系统测试要求</w:t>
      </w:r>
      <w:bookmarkEnd w:id="36"/>
      <w:bookmarkEnd w:id="37"/>
    </w:p>
    <w:p w14:paraId="723C58E7">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bookmarkStart w:id="38" w:name="_Toc35611364"/>
      <w:bookmarkStart w:id="39" w:name="_Toc23878888"/>
      <w:r>
        <w:rPr>
          <w:rFonts w:hint="eastAsia" w:ascii="宋体" w:hAnsi="宋体" w:eastAsia="宋体" w:cs="宋体"/>
          <w:sz w:val="24"/>
          <w:szCs w:val="24"/>
          <w:lang w:eastAsia="zh-CN"/>
        </w:rPr>
        <w:t>为使项目应用软件开发质量有所保障，确保系统各模块能够实现预定功能、系统整体性能稳定安全，中标人需在系统功能开发完成后进行项目测试。</w:t>
      </w:r>
    </w:p>
    <w:p w14:paraId="6D34F849">
      <w:pPr>
        <w:pageBreakBefore w:val="0"/>
        <w:wordWrap/>
        <w:overflowPunct/>
        <w:topLinePunct w:val="0"/>
        <w:bidi w:val="0"/>
        <w:snapToGrid w:val="0"/>
        <w:spacing w:line="360" w:lineRule="auto"/>
        <w:ind w:firstLine="480" w:firstLineChars="200"/>
        <w:rPr>
          <w:rFonts w:hint="eastAsia" w:ascii="宋体" w:hAnsi="宋体" w:eastAsia="宋体" w:cs="宋体"/>
          <w:b/>
          <w:sz w:val="24"/>
          <w:szCs w:val="24"/>
          <w:lang w:eastAsia="zh-CN"/>
        </w:rPr>
      </w:pPr>
      <w:r>
        <w:rPr>
          <w:rFonts w:hint="eastAsia" w:ascii="宋体" w:hAnsi="宋体" w:eastAsia="宋体" w:cs="宋体"/>
          <w:sz w:val="24"/>
          <w:szCs w:val="24"/>
          <w:lang w:eastAsia="zh-CN"/>
        </w:rPr>
        <w:t>项目测试主要针对应用软件的验收测试，验收标准是依据工信部相关标准并依据项目需求来制定的。应用软件测试包括单元测试、功能测试、集成测试、安全测试、健壮性测试、文档测试。系统开发阶段完成单元测试，验收测试阶段完成功能测试、集成测试、安全性测试、健壮性测试和文档测试。</w:t>
      </w:r>
    </w:p>
    <w:bookmarkEnd w:id="38"/>
    <w:bookmarkEnd w:id="39"/>
    <w:p w14:paraId="77739400">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40" w:name="_Toc35611365"/>
      <w:bookmarkStart w:id="41" w:name="_Toc23878890"/>
      <w:bookmarkStart w:id="42" w:name="_Toc213686230"/>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.1.4.</w:t>
      </w:r>
      <w:r>
        <w:rPr>
          <w:rFonts w:hint="eastAsia" w:ascii="宋体" w:hAnsi="宋体" w:eastAsia="宋体" w:cs="宋体"/>
          <w:sz w:val="24"/>
          <w:szCs w:val="24"/>
        </w:rPr>
        <w:t>项目进度计划要求</w:t>
      </w:r>
      <w:bookmarkEnd w:id="40"/>
      <w:bookmarkEnd w:id="41"/>
      <w:bookmarkEnd w:id="42"/>
    </w:p>
    <w:p w14:paraId="09D21D8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val="zh-CN" w:eastAsia="zh-CN" w:bidi="mn-Mong-CN"/>
        </w:rPr>
      </w:pPr>
      <w:r>
        <w:rPr>
          <w:rFonts w:hint="eastAsia" w:ascii="宋体" w:hAnsi="宋体" w:eastAsia="宋体" w:cs="宋体"/>
          <w:sz w:val="24"/>
          <w:szCs w:val="24"/>
          <w:lang w:eastAsia="zh-CN" w:bidi="mn-Mong-CN"/>
        </w:rPr>
        <w:t>需</w:t>
      </w:r>
      <w:r>
        <w:rPr>
          <w:rFonts w:hint="eastAsia" w:ascii="宋体" w:hAnsi="宋体" w:eastAsia="宋体" w:cs="宋体"/>
          <w:sz w:val="24"/>
          <w:szCs w:val="24"/>
          <w:lang w:val="zh-CN" w:eastAsia="zh-CN" w:bidi="mn-Mong-CN"/>
        </w:rPr>
        <w:t>按照项目整体实施周期，具体描述项目各里程碑阶段的进度执行时间及完成里程碑任务，如启动、分析、构建、部署、验收等阶段。配备详细进度控制措施保证项目整体进度计划推进。</w:t>
      </w:r>
    </w:p>
    <w:p w14:paraId="52742944">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43" w:name="_Toc136350605"/>
      <w:bookmarkStart w:id="44" w:name="_Toc213686231"/>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.1.5.</w:t>
      </w:r>
      <w:r>
        <w:rPr>
          <w:rFonts w:hint="eastAsia" w:ascii="宋体" w:hAnsi="宋体" w:eastAsia="宋体" w:cs="宋体"/>
          <w:sz w:val="24"/>
          <w:szCs w:val="24"/>
        </w:rPr>
        <w:t>项目文档要求</w:t>
      </w:r>
      <w:bookmarkEnd w:id="43"/>
      <w:bookmarkEnd w:id="44"/>
    </w:p>
    <w:p w14:paraId="007A9060">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mn-Mong-CN"/>
        </w:rPr>
      </w:pPr>
      <w:bookmarkStart w:id="45" w:name="_Toc136350606"/>
      <w:r>
        <w:rPr>
          <w:rFonts w:hint="eastAsia" w:ascii="宋体" w:hAnsi="宋体" w:eastAsia="宋体" w:cs="宋体"/>
          <w:sz w:val="24"/>
          <w:szCs w:val="24"/>
          <w:lang w:eastAsia="zh-CN" w:bidi="mn-Mong-CN"/>
        </w:rPr>
        <w:t>系统开发应严格遵照国家软件工程规范进行，中标人必须根据开发进度及时提供有关文档，包括但不限于：</w:t>
      </w:r>
    </w:p>
    <w:p w14:paraId="4F0349AC">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(1) 需求分析阶段：《用户需求分析报告》《软件需求规格说明书》；</w:t>
      </w:r>
    </w:p>
    <w:p w14:paraId="6E847AB2">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(2) 设计阶段：《概要设计说明书》、《详细设计说明书》、《数据库设计说明书》、《接口标准及开发指南》、《整体实施计划》；</w:t>
      </w:r>
    </w:p>
    <w:p w14:paraId="0BC1959F">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(3) 编码阶段：《模块开发卷宗》、《编码规范》；</w:t>
      </w:r>
    </w:p>
    <w:p w14:paraId="57597B02">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(4) 测试阶段：《测试计划》、《测试用例记录》、《测试分析报告》、《性能测试方案》；</w:t>
      </w:r>
    </w:p>
    <w:p w14:paraId="629EE759">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(5) 试运行/上线阶段：《试运行/上线计划》、《试运行/上线报告》；</w:t>
      </w:r>
    </w:p>
    <w:p w14:paraId="0A8C0B88">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(6) 过程文档：《例会记录》、《开发周报》、《开发进度月报》；</w:t>
      </w:r>
    </w:p>
    <w:p w14:paraId="67EF8CD9">
      <w:pPr>
        <w:pageBreakBefore w:val="0"/>
        <w:wordWrap/>
        <w:overflowPunct/>
        <w:topLinePunct w:val="0"/>
        <w:bidi w:val="0"/>
        <w:snapToGrid w:val="0"/>
        <w:spacing w:line="360" w:lineRule="auto"/>
        <w:ind w:firstLine="42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(7) 交付使用：《用户手册》、《操作手册》、《系统管理员手册》、《系统安装维护手册》。</w:t>
      </w:r>
    </w:p>
    <w:p w14:paraId="1B0C1C3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中标人</w:t>
      </w:r>
      <w:r>
        <w:rPr>
          <w:rFonts w:hint="eastAsia" w:ascii="宋体" w:hAnsi="宋体" w:eastAsia="宋体" w:cs="宋体"/>
          <w:sz w:val="24"/>
          <w:szCs w:val="24"/>
          <w:lang w:val="en-US" w:eastAsia="zh-CN" w:bidi="mn-Mong-CN"/>
        </w:rPr>
        <w:t>需</w:t>
      </w:r>
      <w:r>
        <w:rPr>
          <w:rFonts w:hint="eastAsia" w:ascii="宋体" w:hAnsi="宋体" w:eastAsia="宋体" w:cs="宋体"/>
          <w:sz w:val="24"/>
          <w:szCs w:val="24"/>
          <w:lang w:eastAsia="zh-CN" w:bidi="mn-Mong-CN"/>
        </w:rPr>
        <w:t>向采购人单位提供整个系统的安装光盘、</w:t>
      </w:r>
      <w:r>
        <w:rPr>
          <w:rFonts w:hint="eastAsia" w:ascii="宋体" w:hAnsi="宋体" w:eastAsia="宋体" w:cs="宋体"/>
          <w:sz w:val="24"/>
          <w:szCs w:val="24"/>
          <w:lang w:val="en-US" w:eastAsia="zh-CN" w:bidi="mn-Mong-CN"/>
        </w:rPr>
        <w:t>招标文件</w:t>
      </w:r>
      <w:r>
        <w:rPr>
          <w:rFonts w:hint="eastAsia" w:ascii="宋体" w:hAnsi="宋体" w:eastAsia="宋体" w:cs="宋体"/>
          <w:sz w:val="24"/>
          <w:szCs w:val="24"/>
          <w:lang w:eastAsia="zh-CN" w:bidi="mn-Mong-CN"/>
        </w:rPr>
        <w:t>所规定文档和标准接口说明等；以计算机光盘形式交付。</w:t>
      </w:r>
    </w:p>
    <w:p w14:paraId="15A88E9B">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项目管理应提交软件开发和实施计划、进度报告、培训计划、培训记录、例会记录以及采购人认为必要的其他文档。</w:t>
      </w:r>
    </w:p>
    <w:p w14:paraId="1BD4AB9F">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bidi="mn-Mong-CN"/>
        </w:rPr>
      </w:pPr>
      <w:r>
        <w:rPr>
          <w:rFonts w:hint="eastAsia" w:ascii="宋体" w:hAnsi="宋体" w:eastAsia="宋体" w:cs="宋体"/>
          <w:sz w:val="24"/>
          <w:szCs w:val="24"/>
          <w:lang w:eastAsia="zh-CN" w:bidi="mn-Mong-CN"/>
        </w:rPr>
        <w:t>未经采购人认可的情况下，所有的技术文件必须用中文书写或有完整的中文注释。</w:t>
      </w:r>
    </w:p>
    <w:p w14:paraId="3BD58B60">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46" w:name="_Toc213686232"/>
      <w:r>
        <w:rPr>
          <w:rFonts w:hint="eastAsia" w:ascii="宋体" w:hAnsi="宋体" w:cs="宋体"/>
          <w:b/>
          <w:kern w:val="2"/>
          <w:sz w:val="24"/>
          <w:szCs w:val="24"/>
          <w:lang w:val="en-US" w:eastAsia="zh-CN" w:bidi="ar-SA"/>
        </w:rPr>
        <w:t>5</w:t>
      </w:r>
      <w:r>
        <w:rPr>
          <w:rFonts w:hint="eastAsia" w:ascii="宋体" w:hAnsi="宋体" w:eastAsia="宋体" w:cs="宋体"/>
          <w:b/>
          <w:kern w:val="2"/>
          <w:sz w:val="24"/>
          <w:szCs w:val="24"/>
          <w:lang w:val="en-US" w:eastAsia="zh-CN" w:bidi="ar-SA"/>
        </w:rPr>
        <w:t>.1.6.</w:t>
      </w:r>
      <w:r>
        <w:rPr>
          <w:rFonts w:hint="eastAsia" w:ascii="宋体" w:hAnsi="宋体" w:eastAsia="宋体" w:cs="宋体"/>
          <w:sz w:val="24"/>
          <w:szCs w:val="24"/>
        </w:rPr>
        <w:t>项目验收要求</w:t>
      </w:r>
      <w:bookmarkEnd w:id="45"/>
      <w:bookmarkEnd w:id="46"/>
    </w:p>
    <w:p w14:paraId="779767F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项目验收工作由</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组织实施，由</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中标</w:t>
      </w:r>
      <w:r>
        <w:rPr>
          <w:rFonts w:hint="eastAsia" w:ascii="宋体" w:hAnsi="宋体" w:eastAsia="宋体" w:cs="宋体"/>
          <w:sz w:val="24"/>
          <w:szCs w:val="24"/>
          <w:lang w:val="en-US" w:eastAsia="zh-CN"/>
        </w:rPr>
        <w:t>人共同</w:t>
      </w:r>
      <w:r>
        <w:rPr>
          <w:rFonts w:hint="eastAsia" w:ascii="宋体" w:hAnsi="宋体" w:eastAsia="宋体" w:cs="宋体"/>
          <w:sz w:val="24"/>
          <w:szCs w:val="24"/>
          <w:lang w:eastAsia="zh-CN"/>
        </w:rPr>
        <w:t>完成。中标人应配合完成验收工作，提交相关文档，经</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确认后进行项目验收。相关要求包括但不限于：</w:t>
      </w:r>
    </w:p>
    <w:p w14:paraId="420901BE">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）项目验收工作开展前，中标</w:t>
      </w:r>
      <w:r>
        <w:rPr>
          <w:rFonts w:hint="eastAsia" w:ascii="宋体" w:hAnsi="宋体" w:eastAsia="宋体" w:cs="宋体"/>
          <w:sz w:val="24"/>
          <w:szCs w:val="24"/>
          <w:lang w:val="en-US" w:eastAsia="zh-CN"/>
        </w:rPr>
        <w:t>人</w:t>
      </w:r>
      <w:r>
        <w:rPr>
          <w:rFonts w:hint="eastAsia" w:ascii="宋体" w:hAnsi="宋体" w:eastAsia="宋体" w:cs="宋体"/>
          <w:sz w:val="24"/>
          <w:szCs w:val="24"/>
          <w:lang w:eastAsia="zh-CN"/>
        </w:rPr>
        <w:t>必须完成</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要求的项目建设内容的各项建设工作达到项目建设的验收要求。后续免维期内配合医院评级相关的系统材料准备工作，协助医院顺利完成评级工作。</w:t>
      </w:r>
    </w:p>
    <w:p w14:paraId="0D9542E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验收工作由采购人组织实施，按采购人要求和国家电子政务验收要求进行，中标人应配合完成各阶段的验收工作，必要时由中标人或第三方机构按照验收要求完成验收测试，提交项目验收相关文档，经采购人确认后进行项目验收。</w:t>
      </w:r>
    </w:p>
    <w:p w14:paraId="2D2B6D3D">
      <w:pPr>
        <w:pageBreakBefore w:val="0"/>
        <w:wordWrap/>
        <w:overflowPunct/>
        <w:topLinePunct w:val="0"/>
        <w:bidi w:val="0"/>
        <w:snapToGrid w:val="0"/>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）中标人应在项目验收时提供相关的验收场景和资料，包括但不限于：场景模拟、项目演示、相关说明等。</w:t>
      </w:r>
    </w:p>
    <w:p w14:paraId="01819616">
      <w:pPr>
        <w:pStyle w:val="4"/>
        <w:pageBreakBefore w:val="0"/>
        <w:numPr>
          <w:ilvl w:val="0"/>
          <w:numId w:val="0"/>
        </w:numPr>
        <w:wordWrap/>
        <w:overflowPunct/>
        <w:topLinePunct w:val="0"/>
        <w:bidi w:val="0"/>
        <w:snapToGrid w:val="0"/>
        <w:spacing w:before="0" w:after="0" w:line="360" w:lineRule="auto"/>
        <w:ind w:left="425" w:leftChars="0" w:hanging="425" w:firstLineChars="0"/>
        <w:jc w:val="both"/>
        <w:rPr>
          <w:rFonts w:hint="eastAsia" w:ascii="宋体" w:hAnsi="宋体" w:eastAsia="宋体" w:cs="宋体"/>
          <w:sz w:val="24"/>
          <w:szCs w:val="24"/>
        </w:rPr>
      </w:pPr>
      <w:bookmarkStart w:id="47" w:name="_Toc213686233"/>
      <w:bookmarkStart w:id="48" w:name="_Toc77973151"/>
      <w:bookmarkStart w:id="49" w:name="_Toc136350607"/>
      <w:r>
        <w:rPr>
          <w:rFonts w:hint="eastAsia" w:ascii="宋体" w:hAnsi="宋体" w:eastAsia="宋体" w:cs="宋体"/>
          <w:b/>
          <w:color w:val="000000"/>
          <w:kern w:val="0"/>
          <w:sz w:val="24"/>
          <w:szCs w:val="24"/>
          <w:lang w:val="en-US" w:eastAsia="zh-CN" w:bidi="ar-SA"/>
        </w:rPr>
        <w:t>（六）</w:t>
      </w:r>
      <w:r>
        <w:rPr>
          <w:rFonts w:hint="eastAsia" w:ascii="宋体" w:hAnsi="宋体" w:eastAsia="宋体" w:cs="宋体"/>
          <w:sz w:val="24"/>
          <w:szCs w:val="24"/>
        </w:rPr>
        <w:t>项目培训要求</w:t>
      </w:r>
      <w:bookmarkEnd w:id="47"/>
      <w:bookmarkEnd w:id="48"/>
      <w:bookmarkEnd w:id="49"/>
    </w:p>
    <w:p w14:paraId="17413F4D">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必须按照采购人的要求，提供相应的应用软件技术和系统操作等方面的培训。有关应用软件的操作培训课程，培训应该在系统运作前完成。</w:t>
      </w:r>
      <w:r>
        <w:rPr>
          <w:rFonts w:hint="eastAsia" w:ascii="宋体" w:hAnsi="宋体" w:eastAsia="宋体" w:cs="宋体"/>
          <w:sz w:val="24"/>
          <w:szCs w:val="24"/>
          <w:lang w:eastAsia="zh-CN"/>
        </w:rPr>
        <w:t>中标人</w:t>
      </w:r>
      <w:r>
        <w:rPr>
          <w:rFonts w:hint="eastAsia" w:ascii="宋体" w:hAnsi="宋体" w:eastAsia="宋体" w:cs="宋体"/>
          <w:sz w:val="24"/>
          <w:szCs w:val="24"/>
        </w:rPr>
        <w:t>须在响应文件中提出全面、详细的培训课程以及时间表交给采购人，并在合同签定后征得采购人同意后实施。</w:t>
      </w:r>
    </w:p>
    <w:p w14:paraId="38FEC0A3">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将详细的培训课程以及时间表交给采购人，最后以采购人认可为准。</w:t>
      </w:r>
    </w:p>
    <w:p w14:paraId="06FD583C">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1、对于所有培训，</w:t>
      </w:r>
      <w:r>
        <w:rPr>
          <w:rFonts w:hint="eastAsia" w:ascii="宋体" w:hAnsi="宋体" w:eastAsia="宋体" w:cs="宋体"/>
          <w:sz w:val="24"/>
          <w:szCs w:val="24"/>
          <w:lang w:eastAsia="zh-CN"/>
        </w:rPr>
        <w:t>中标人</w:t>
      </w:r>
      <w:r>
        <w:rPr>
          <w:rFonts w:hint="eastAsia" w:ascii="宋体" w:hAnsi="宋体" w:eastAsia="宋体" w:cs="宋体"/>
          <w:sz w:val="24"/>
          <w:szCs w:val="24"/>
        </w:rPr>
        <w:t>必须派出具有相应培训经验和实际工作和相应的辅导人员进行培训，主要培训教员应至少具有三年的产品培训经验，培训所使用的语言必须是中文，否则</w:t>
      </w:r>
      <w:r>
        <w:rPr>
          <w:rFonts w:hint="eastAsia" w:ascii="宋体" w:hAnsi="宋体" w:eastAsia="宋体" w:cs="宋体"/>
          <w:sz w:val="24"/>
          <w:szCs w:val="24"/>
          <w:lang w:eastAsia="zh-CN"/>
        </w:rPr>
        <w:t>中标人</w:t>
      </w:r>
      <w:r>
        <w:rPr>
          <w:rFonts w:hint="eastAsia" w:ascii="宋体" w:hAnsi="宋体" w:eastAsia="宋体" w:cs="宋体"/>
          <w:sz w:val="24"/>
          <w:szCs w:val="24"/>
        </w:rPr>
        <w:t>必须提供相应的翻译。</w:t>
      </w:r>
    </w:p>
    <w:p w14:paraId="6EB5FB1C">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中标人</w:t>
      </w:r>
      <w:r>
        <w:rPr>
          <w:rFonts w:hint="eastAsia" w:ascii="宋体" w:hAnsi="宋体" w:eastAsia="宋体" w:cs="宋体"/>
          <w:sz w:val="24"/>
          <w:szCs w:val="24"/>
        </w:rPr>
        <w:t>必须为所有被培训人员提供培训教材，培训教材包括视频教材、WORD和HTML用户手册、培训PPT等，所有的资料必须是中文书写。</w:t>
      </w:r>
    </w:p>
    <w:p w14:paraId="3AB01342">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eastAsia="zh-CN"/>
        </w:rPr>
        <w:t>中标人</w:t>
      </w:r>
      <w:r>
        <w:rPr>
          <w:rFonts w:hint="eastAsia" w:ascii="宋体" w:hAnsi="宋体" w:eastAsia="宋体" w:cs="宋体"/>
          <w:sz w:val="24"/>
          <w:szCs w:val="24"/>
        </w:rPr>
        <w:t>须提供详细的培训计划，提供集中培训与定期培训。</w:t>
      </w:r>
    </w:p>
    <w:p w14:paraId="378ADB5E">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4、对采购人的人员培训方式</w:t>
      </w:r>
      <w:r>
        <w:rPr>
          <w:rFonts w:hint="eastAsia" w:ascii="宋体" w:hAnsi="宋体" w:eastAsia="宋体" w:cs="宋体"/>
          <w:sz w:val="24"/>
          <w:szCs w:val="24"/>
          <w:highlight w:val="none"/>
          <w:lang w:val="en-US" w:eastAsia="zh-CN"/>
        </w:rPr>
        <w:t>需</w:t>
      </w:r>
      <w:r>
        <w:rPr>
          <w:rFonts w:hint="eastAsia" w:ascii="宋体" w:hAnsi="宋体" w:eastAsia="宋体" w:cs="宋体"/>
          <w:sz w:val="24"/>
          <w:szCs w:val="24"/>
        </w:rPr>
        <w:t>分两类，一类为业务人员培训，培训采用集中授课、现场演示和辅助操作三种培训方式；另一类为技术人员培训，培训采用理论培训和实际操作相结合的方式。</w:t>
      </w:r>
    </w:p>
    <w:p w14:paraId="32ED5885">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5、使用培训要求。</w:t>
      </w:r>
    </w:p>
    <w:p w14:paraId="164AD4BF">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培训对象：业务系统日常使用人员，主要面向医院业务人员。</w:t>
      </w:r>
    </w:p>
    <w:p w14:paraId="62C9CAA7">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培训方式：以系统相关操作人员进行集中培训和现场培训。</w:t>
      </w:r>
    </w:p>
    <w:p w14:paraId="278B4BA0">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培训内容：本次建设的医院信息化相关业务应用系统的日常使用。</w:t>
      </w:r>
    </w:p>
    <w:p w14:paraId="4D14FB9E">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培训组织：由中标人协助医院组织培训会议</w:t>
      </w:r>
    </w:p>
    <w:p w14:paraId="459D0E2C">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培训地点：由</w:t>
      </w:r>
      <w:r>
        <w:rPr>
          <w:rFonts w:hint="eastAsia" w:ascii="宋体" w:hAnsi="宋体" w:eastAsia="宋体" w:cs="宋体"/>
          <w:sz w:val="24"/>
          <w:szCs w:val="24"/>
          <w:lang w:val="en-US" w:eastAsia="zh-CN"/>
        </w:rPr>
        <w:t>采购人</w:t>
      </w:r>
      <w:r>
        <w:rPr>
          <w:rFonts w:hint="eastAsia" w:ascii="宋体" w:hAnsi="宋体" w:eastAsia="宋体" w:cs="宋体"/>
          <w:sz w:val="24"/>
          <w:szCs w:val="24"/>
          <w:lang w:eastAsia="zh-CN"/>
        </w:rPr>
        <w:t>指定。</w:t>
      </w:r>
    </w:p>
    <w:p w14:paraId="2B2D4D48">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培训课时：</w:t>
      </w:r>
      <w:r>
        <w:rPr>
          <w:rFonts w:hint="eastAsia" w:ascii="宋体" w:hAnsi="宋体" w:eastAsia="宋体" w:cs="宋体"/>
          <w:sz w:val="24"/>
          <w:szCs w:val="24"/>
          <w:lang w:val="en-US" w:eastAsia="zh-CN"/>
        </w:rPr>
        <w:t>中标人</w:t>
      </w:r>
      <w:r>
        <w:rPr>
          <w:rFonts w:hint="eastAsia" w:ascii="宋体" w:hAnsi="宋体" w:eastAsia="宋体" w:cs="宋体"/>
          <w:sz w:val="24"/>
          <w:szCs w:val="24"/>
          <w:lang w:eastAsia="zh-CN"/>
        </w:rPr>
        <w:t>根据业务系统的使用及业务人员的角色</w:t>
      </w:r>
      <w:r>
        <w:rPr>
          <w:rFonts w:hint="eastAsia" w:ascii="宋体" w:hAnsi="宋体" w:eastAsia="宋体" w:cs="宋体"/>
          <w:sz w:val="24"/>
          <w:szCs w:val="24"/>
          <w:lang w:val="en-US" w:eastAsia="zh-CN"/>
        </w:rPr>
        <w:t>及采购人的要求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针对性地开展</w:t>
      </w:r>
      <w:r>
        <w:rPr>
          <w:rFonts w:hint="eastAsia" w:ascii="宋体" w:hAnsi="宋体" w:eastAsia="宋体" w:cs="宋体"/>
          <w:sz w:val="24"/>
          <w:szCs w:val="24"/>
          <w:lang w:eastAsia="zh-CN"/>
        </w:rPr>
        <w:t>培训</w:t>
      </w:r>
      <w:r>
        <w:rPr>
          <w:rFonts w:hint="eastAsia" w:ascii="宋体" w:hAnsi="宋体" w:eastAsia="宋体" w:cs="宋体"/>
          <w:sz w:val="24"/>
          <w:szCs w:val="24"/>
          <w:lang w:val="en-US" w:eastAsia="zh-CN"/>
        </w:rPr>
        <w:t>工作，且每个业务板块至少组织一次</w:t>
      </w:r>
      <w:r>
        <w:rPr>
          <w:rFonts w:hint="eastAsia" w:ascii="宋体" w:hAnsi="宋体" w:eastAsia="宋体" w:cs="宋体"/>
          <w:sz w:val="24"/>
          <w:szCs w:val="24"/>
          <w:lang w:eastAsia="zh-CN"/>
        </w:rPr>
        <w:t>现场培训。</w:t>
      </w:r>
    </w:p>
    <w:p w14:paraId="2A38BC3D">
      <w:pPr>
        <w:pageBreakBefore w:val="0"/>
        <w:wordWrap/>
        <w:overflowPunct/>
        <w:topLinePunct w:val="0"/>
        <w:bidi w:val="0"/>
        <w:snapToGrid w:val="0"/>
        <w:spacing w:line="360" w:lineRule="auto"/>
        <w:ind w:firstLine="410" w:firstLineChars="171"/>
        <w:rPr>
          <w:rFonts w:hint="eastAsia" w:ascii="宋体" w:hAnsi="宋体" w:eastAsia="宋体" w:cs="宋体"/>
          <w:sz w:val="24"/>
          <w:szCs w:val="24"/>
          <w:lang w:eastAsia="zh-CN"/>
        </w:rPr>
      </w:pPr>
      <w:r>
        <w:rPr>
          <w:rFonts w:hint="eastAsia" w:ascii="宋体" w:hAnsi="宋体" w:eastAsia="宋体" w:cs="宋体"/>
          <w:sz w:val="24"/>
          <w:szCs w:val="24"/>
          <w:lang w:eastAsia="zh-CN"/>
        </w:rPr>
        <w:t>培训人数：</w:t>
      </w:r>
      <w:r>
        <w:rPr>
          <w:rFonts w:hint="eastAsia" w:ascii="宋体" w:hAnsi="宋体" w:eastAsia="宋体" w:cs="宋体"/>
          <w:sz w:val="24"/>
          <w:szCs w:val="24"/>
          <w:lang w:val="en-US" w:eastAsia="zh-CN"/>
        </w:rPr>
        <w:t>根据实际情况而定，并按照采购人要求执行。</w:t>
      </w:r>
    </w:p>
    <w:p w14:paraId="1033ADEE">
      <w:pPr>
        <w:pStyle w:val="15"/>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z w:val="24"/>
          <w:szCs w:val="24"/>
          <w:lang w:eastAsia="zh-CN"/>
        </w:rPr>
        <w:t>中标人</w:t>
      </w:r>
      <w:r>
        <w:rPr>
          <w:rFonts w:hint="eastAsia" w:ascii="宋体" w:hAnsi="宋体" w:eastAsia="宋体" w:cs="宋体"/>
          <w:sz w:val="24"/>
          <w:szCs w:val="24"/>
        </w:rPr>
        <w:t>须提供</w:t>
      </w:r>
      <w:r>
        <w:rPr>
          <w:rFonts w:hint="eastAsia" w:ascii="宋体" w:hAnsi="宋体" w:eastAsia="宋体" w:cs="宋体"/>
          <w:sz w:val="24"/>
          <w:szCs w:val="24"/>
          <w:lang w:val="en-US" w:eastAsia="zh-CN"/>
        </w:rPr>
        <w:t>符合项目的</w:t>
      </w:r>
      <w:r>
        <w:rPr>
          <w:rFonts w:hint="eastAsia" w:ascii="宋体" w:hAnsi="宋体" w:eastAsia="宋体" w:cs="宋体"/>
          <w:sz w:val="24"/>
          <w:szCs w:val="24"/>
        </w:rPr>
        <w:t>详细培训方案，其方案内容包括但不限于培训目的、培训时间、培训内容、培训组织方式等。</w:t>
      </w:r>
    </w:p>
    <w:p w14:paraId="0B76595B">
      <w:pPr>
        <w:pStyle w:val="4"/>
        <w:pageBreakBefore w:val="0"/>
        <w:numPr>
          <w:ilvl w:val="0"/>
          <w:numId w:val="0"/>
        </w:numPr>
        <w:wordWrap/>
        <w:overflowPunct/>
        <w:topLinePunct w:val="0"/>
        <w:bidi w:val="0"/>
        <w:snapToGrid w:val="0"/>
        <w:spacing w:before="0" w:after="0" w:line="360" w:lineRule="auto"/>
        <w:ind w:left="426" w:leftChars="202" w:hanging="2" w:hangingChars="1"/>
        <w:jc w:val="both"/>
        <w:rPr>
          <w:rFonts w:hint="eastAsia" w:ascii="宋体" w:hAnsi="宋体" w:eastAsia="宋体" w:cs="宋体"/>
          <w:sz w:val="24"/>
          <w:szCs w:val="24"/>
        </w:rPr>
      </w:pPr>
      <w:bookmarkStart w:id="50" w:name="_Toc136350608"/>
      <w:bookmarkStart w:id="51" w:name="_Toc77973152"/>
      <w:bookmarkStart w:id="52" w:name="_Toc213686234"/>
      <w:r>
        <w:rPr>
          <w:rFonts w:hint="eastAsia" w:ascii="宋体" w:hAnsi="宋体" w:eastAsia="宋体" w:cs="宋体"/>
          <w:b/>
          <w:color w:val="000000"/>
          <w:kern w:val="0"/>
          <w:sz w:val="24"/>
          <w:szCs w:val="24"/>
          <w:lang w:val="en-US" w:eastAsia="zh-CN" w:bidi="ar-SA"/>
        </w:rPr>
        <w:t>（七）</w:t>
      </w:r>
      <w:r>
        <w:rPr>
          <w:rFonts w:hint="eastAsia" w:ascii="宋体" w:hAnsi="宋体" w:eastAsia="宋体" w:cs="宋体"/>
          <w:sz w:val="24"/>
          <w:szCs w:val="24"/>
        </w:rPr>
        <w:t>售后服务要求</w:t>
      </w:r>
      <w:bookmarkEnd w:id="50"/>
      <w:bookmarkEnd w:id="51"/>
      <w:bookmarkEnd w:id="52"/>
    </w:p>
    <w:p w14:paraId="04ADAF00">
      <w:pPr>
        <w:pStyle w:val="1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投标人根据项目需求提供售后服务方案，其方案内容包括但不限于售后服务承诺、售后服务时间、服务质量保障措施等方面。</w:t>
      </w:r>
    </w:p>
    <w:p w14:paraId="21595143">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53" w:name="_Toc136350609"/>
      <w:bookmarkStart w:id="54" w:name="_Toc213686235"/>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.1.1.</w:t>
      </w:r>
      <w:r>
        <w:rPr>
          <w:rFonts w:hint="eastAsia" w:ascii="宋体" w:hAnsi="宋体" w:eastAsia="宋体" w:cs="宋体"/>
          <w:sz w:val="24"/>
          <w:szCs w:val="24"/>
        </w:rPr>
        <w:t>质保期</w:t>
      </w:r>
      <w:bookmarkEnd w:id="53"/>
      <w:bookmarkEnd w:id="54"/>
    </w:p>
    <w:p w14:paraId="354E8728">
      <w:pPr>
        <w:pStyle w:val="15"/>
        <w:spacing w:line="360" w:lineRule="auto"/>
        <w:ind w:firstLine="560"/>
        <w:rPr>
          <w:rFonts w:hint="eastAsia" w:ascii="宋体" w:hAnsi="宋体" w:eastAsia="宋体" w:cs="宋体"/>
          <w:snapToGrid/>
          <w:color w:val="auto"/>
          <w:kern w:val="2"/>
          <w:sz w:val="24"/>
          <w:szCs w:val="24"/>
          <w:lang w:val="en-US" w:eastAsia="zh-CN" w:bidi="mn-Mong-CN"/>
        </w:rPr>
      </w:pPr>
      <w:r>
        <w:rPr>
          <w:rFonts w:hint="eastAsia" w:ascii="宋体" w:hAnsi="宋体" w:eastAsia="宋体" w:cs="宋体"/>
          <w:sz w:val="24"/>
          <w:szCs w:val="24"/>
          <w:lang w:eastAsia="zh-CN"/>
        </w:rPr>
        <w:t>中标人</w:t>
      </w:r>
      <w:r>
        <w:rPr>
          <w:rFonts w:hint="eastAsia" w:ascii="宋体" w:hAnsi="宋体" w:eastAsia="宋体" w:cs="宋体"/>
          <w:sz w:val="24"/>
          <w:szCs w:val="24"/>
        </w:rPr>
        <w:t>须承诺</w:t>
      </w:r>
      <w:r>
        <w:rPr>
          <w:rFonts w:hint="eastAsia" w:ascii="宋体" w:hAnsi="宋体" w:eastAsia="宋体" w:cs="宋体"/>
          <w:snapToGrid/>
          <w:color w:val="auto"/>
          <w:kern w:val="2"/>
          <w:sz w:val="24"/>
          <w:szCs w:val="24"/>
          <w:lang w:eastAsia="zh-CN" w:bidi="mn-Mong-CN"/>
        </w:rPr>
        <w:t>提供自项目</w:t>
      </w:r>
      <w:r>
        <w:rPr>
          <w:rFonts w:hint="eastAsia" w:ascii="宋体" w:hAnsi="宋体" w:eastAsia="宋体" w:cs="宋体"/>
          <w:snapToGrid/>
          <w:color w:val="auto"/>
          <w:kern w:val="2"/>
          <w:sz w:val="24"/>
          <w:szCs w:val="24"/>
          <w:lang w:val="en-US" w:eastAsia="zh-CN" w:bidi="mn-Mong-CN"/>
        </w:rPr>
        <w:t>初验合格</w:t>
      </w:r>
      <w:r>
        <w:rPr>
          <w:rFonts w:hint="eastAsia" w:ascii="宋体" w:hAnsi="宋体" w:eastAsia="宋体" w:cs="宋体"/>
          <w:snapToGrid/>
          <w:color w:val="auto"/>
          <w:kern w:val="2"/>
          <w:sz w:val="24"/>
          <w:szCs w:val="24"/>
          <w:lang w:eastAsia="zh-CN" w:bidi="mn-Mong-CN"/>
        </w:rPr>
        <w:t>之日起</w:t>
      </w:r>
      <w:r>
        <w:rPr>
          <w:rFonts w:hint="eastAsia" w:ascii="宋体" w:hAnsi="宋体" w:eastAsia="宋体" w:cs="宋体"/>
          <w:snapToGrid/>
          <w:color w:val="auto"/>
          <w:kern w:val="2"/>
          <w:sz w:val="24"/>
          <w:szCs w:val="24"/>
          <w:lang w:val="en-US" w:eastAsia="zh-CN" w:bidi="mn-Mong-CN"/>
        </w:rPr>
        <w:t>1</w:t>
      </w:r>
      <w:r>
        <w:rPr>
          <w:rFonts w:hint="eastAsia" w:ascii="宋体" w:hAnsi="宋体" w:eastAsia="宋体" w:cs="宋体"/>
          <w:snapToGrid/>
          <w:color w:val="auto"/>
          <w:kern w:val="2"/>
          <w:sz w:val="24"/>
          <w:szCs w:val="24"/>
          <w:lang w:eastAsia="zh-CN" w:bidi="mn-Mong-CN"/>
        </w:rPr>
        <w:t>年免费</w:t>
      </w:r>
      <w:r>
        <w:rPr>
          <w:rFonts w:hint="eastAsia" w:ascii="宋体" w:hAnsi="宋体" w:eastAsia="宋体" w:cs="宋体"/>
          <w:snapToGrid/>
          <w:color w:val="auto"/>
          <w:kern w:val="2"/>
          <w:sz w:val="24"/>
          <w:szCs w:val="24"/>
          <w:lang w:val="en-US" w:eastAsia="zh-CN" w:bidi="mn-Mong-CN"/>
        </w:rPr>
        <w:t>运维服务</w:t>
      </w:r>
      <w:r>
        <w:rPr>
          <w:rFonts w:hint="eastAsia" w:ascii="宋体" w:hAnsi="宋体" w:eastAsia="宋体" w:cs="宋体"/>
          <w:snapToGrid/>
          <w:color w:val="auto"/>
          <w:kern w:val="2"/>
          <w:sz w:val="24"/>
          <w:szCs w:val="24"/>
          <w:lang w:eastAsia="zh-CN" w:bidi="mn-Mong-CN"/>
        </w:rPr>
        <w:t>。</w:t>
      </w:r>
    </w:p>
    <w:p w14:paraId="3A0F7572">
      <w:pPr>
        <w:pStyle w:val="6"/>
        <w:pageBreakBefore w:val="0"/>
        <w:numPr>
          <w:ilvl w:val="2"/>
          <w:numId w:val="0"/>
        </w:numPr>
        <w:wordWrap/>
        <w:overflowPunct/>
        <w:topLinePunct w:val="0"/>
        <w:bidi w:val="0"/>
        <w:snapToGrid w:val="0"/>
        <w:spacing w:before="0" w:after="0" w:line="360" w:lineRule="auto"/>
        <w:ind w:firstLine="482" w:firstLineChars="200"/>
        <w:jc w:val="both"/>
        <w:rPr>
          <w:rFonts w:hint="eastAsia" w:ascii="宋体" w:hAnsi="宋体" w:eastAsia="宋体" w:cs="宋体"/>
          <w:sz w:val="24"/>
          <w:szCs w:val="24"/>
        </w:rPr>
      </w:pPr>
      <w:bookmarkStart w:id="55" w:name="_Toc136350610"/>
      <w:bookmarkStart w:id="56" w:name="_Toc213686236"/>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.1.2.</w:t>
      </w:r>
      <w:r>
        <w:rPr>
          <w:rFonts w:hint="eastAsia" w:ascii="宋体" w:hAnsi="宋体" w:eastAsia="宋体" w:cs="宋体"/>
          <w:sz w:val="24"/>
          <w:szCs w:val="24"/>
        </w:rPr>
        <w:t>质保服务内容</w:t>
      </w:r>
      <w:bookmarkEnd w:id="55"/>
      <w:bookmarkEnd w:id="56"/>
    </w:p>
    <w:p w14:paraId="03BE8EFC">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lang w:eastAsia="zh-CN"/>
        </w:rPr>
        <w:t>中标人</w:t>
      </w:r>
      <w:r>
        <w:rPr>
          <w:rFonts w:hint="eastAsia" w:ascii="宋体" w:hAnsi="宋体" w:eastAsia="宋体" w:cs="宋体"/>
          <w:sz w:val="24"/>
          <w:szCs w:val="24"/>
        </w:rPr>
        <w:t>必须提供详细的保修期内技术支持和服务方案，技术支持和服务方案包括（但不限于）：</w:t>
      </w:r>
    </w:p>
    <w:p w14:paraId="240E99E5">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修改完善系统运行中发现的错漏和其他的异常问题，保障本系统的正常稳定运行。修改完善系统运行中发现的安全漏洞，保障本系统安全可靠运行。修改完善运行中用户提出的不易操作、设计不合理、程序运行效率低等问题，保障本系统高效运行，提高系统的易用性。</w:t>
      </w:r>
    </w:p>
    <w:p w14:paraId="4516E188">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（2）为使用本系统有疑问或困难的用户提供咨询服务和帮助。为采购人提供本系统有关的数据查询、数据处理以及其他技术支持和服务。</w:t>
      </w:r>
    </w:p>
    <w:p w14:paraId="7FD78240">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（3）定期检查分析本系统的各项运行日志，主动发现异常并消除问题隐患。定期检查和测试本系统的运行环境（网络、服务器、操作系统），主动发现异常并消除问题隐患。</w:t>
      </w:r>
    </w:p>
    <w:p w14:paraId="380FB7EF">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4）定期做好本系统的程序、数据库以及运行中产生的其他数据的备份，以确保系统受到不可抗拒的灾害时，本系统能及时恢复正常运行。做好本系统及其运行环境发生严重问题，或遭受不可抗拒的灾害后的系统恢复、重新部署、数据恢复等相关工作。</w:t>
      </w:r>
    </w:p>
    <w:p w14:paraId="54F1A25D">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（5）在维护期内，提供应用系统软件的维护和完善；维护期外，提供终身有偿维护服务，单价不高于维护期内维护服务的合同单价。</w:t>
      </w:r>
    </w:p>
    <w:p w14:paraId="3A029027">
      <w:pPr>
        <w:pStyle w:val="6"/>
        <w:pageBreakBefore w:val="0"/>
        <w:numPr>
          <w:ilvl w:val="2"/>
          <w:numId w:val="0"/>
        </w:numPr>
        <w:wordWrap/>
        <w:overflowPunct/>
        <w:topLinePunct w:val="0"/>
        <w:bidi w:val="0"/>
        <w:snapToGrid w:val="0"/>
        <w:spacing w:before="0" w:after="0" w:line="360" w:lineRule="auto"/>
        <w:ind w:left="719" w:leftChars="186" w:hanging="328" w:hangingChars="136"/>
        <w:jc w:val="both"/>
        <w:rPr>
          <w:rFonts w:hint="eastAsia" w:ascii="宋体" w:hAnsi="宋体" w:eastAsia="宋体" w:cs="宋体"/>
          <w:sz w:val="24"/>
          <w:szCs w:val="24"/>
        </w:rPr>
      </w:pPr>
      <w:bookmarkStart w:id="57" w:name="_Toc213686237"/>
      <w:bookmarkStart w:id="58" w:name="_Toc136350611"/>
      <w:r>
        <w:rPr>
          <w:rFonts w:hint="eastAsia" w:ascii="宋体" w:hAnsi="宋体" w:cs="宋体"/>
          <w:b/>
          <w:kern w:val="2"/>
          <w:sz w:val="24"/>
          <w:szCs w:val="24"/>
          <w:lang w:val="en-US" w:eastAsia="zh-CN" w:bidi="ar-SA"/>
        </w:rPr>
        <w:t>7</w:t>
      </w:r>
      <w:r>
        <w:rPr>
          <w:rFonts w:hint="eastAsia" w:ascii="宋体" w:hAnsi="宋体" w:eastAsia="宋体" w:cs="宋体"/>
          <w:b/>
          <w:kern w:val="2"/>
          <w:sz w:val="24"/>
          <w:szCs w:val="24"/>
          <w:lang w:val="en-US" w:eastAsia="zh-CN" w:bidi="ar-SA"/>
        </w:rPr>
        <w:t>.1.3.</w:t>
      </w:r>
      <w:r>
        <w:rPr>
          <w:rFonts w:hint="eastAsia" w:ascii="宋体" w:hAnsi="宋体" w:eastAsia="宋体" w:cs="宋体"/>
          <w:sz w:val="24"/>
          <w:szCs w:val="24"/>
        </w:rPr>
        <w:t>质保、运维人员及运维服务要求</w:t>
      </w:r>
      <w:bookmarkEnd w:id="57"/>
      <w:bookmarkEnd w:id="58"/>
    </w:p>
    <w:p w14:paraId="0AD91C50">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（1）系统上线后，免费运维期限内，</w:t>
      </w:r>
      <w:r>
        <w:rPr>
          <w:rFonts w:hint="eastAsia" w:ascii="宋体" w:hAnsi="宋体" w:eastAsia="宋体" w:cs="宋体"/>
          <w:sz w:val="24"/>
          <w:szCs w:val="24"/>
          <w:lang w:eastAsia="zh-CN"/>
        </w:rPr>
        <w:t>中标人</w:t>
      </w:r>
      <w:r>
        <w:rPr>
          <w:rFonts w:hint="eastAsia" w:ascii="宋体" w:hAnsi="宋体" w:eastAsia="宋体" w:cs="宋体"/>
          <w:sz w:val="24"/>
          <w:szCs w:val="24"/>
        </w:rPr>
        <w:t>安排有经验及了解产品的人员长期提供运维支持服务。运维人员</w:t>
      </w:r>
      <w:r>
        <w:rPr>
          <w:rFonts w:hint="eastAsia" w:ascii="宋体" w:hAnsi="宋体" w:eastAsia="宋体" w:cs="宋体"/>
          <w:sz w:val="24"/>
          <w:szCs w:val="24"/>
          <w:lang w:val="en-US" w:eastAsia="zh-CN"/>
        </w:rPr>
        <w:t>应为中标人</w:t>
      </w:r>
      <w:r>
        <w:rPr>
          <w:rFonts w:hint="eastAsia" w:ascii="宋体" w:hAnsi="宋体" w:eastAsia="宋体" w:cs="宋体"/>
          <w:sz w:val="24"/>
          <w:szCs w:val="24"/>
        </w:rPr>
        <w:t>正式员工（不含实习人员和外协人员）。</w:t>
      </w:r>
    </w:p>
    <w:p w14:paraId="4645F90B">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（2）维护人员应在采购人工作人员的监督指导下做好维护工作，并严格遵守相关管理办法的规定。不得随意修改系统数据、随意赋权或随意修改密码等。</w:t>
      </w:r>
    </w:p>
    <w:p w14:paraId="5AC6E3BD">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3）如用户反馈的是系统的Bug、安全漏洞、不易操作、设计不合理或效率问题，维护人员应立即做好记录工作，并在一个工作日内检查核实情况，并提出相应的解决方案给采购人技术联系人，采购人确认解决方案并确定任务的紧急程度后，维护人员应按期完成修改完善工作。</w:t>
      </w:r>
    </w:p>
    <w:p w14:paraId="7AABE5E3">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中标人</w:t>
      </w:r>
      <w:r>
        <w:rPr>
          <w:rFonts w:hint="eastAsia" w:ascii="宋体" w:hAnsi="宋体" w:eastAsia="宋体" w:cs="宋体"/>
          <w:sz w:val="24"/>
          <w:szCs w:val="24"/>
        </w:rPr>
        <w:t>对所投产品须提供7x24小时响应服务，提供各种突发事件的应急策略；</w:t>
      </w:r>
      <w:r>
        <w:rPr>
          <w:rFonts w:hint="eastAsia" w:ascii="宋体" w:hAnsi="宋体" w:eastAsia="宋体" w:cs="宋体"/>
          <w:sz w:val="24"/>
          <w:szCs w:val="24"/>
          <w:lang w:val="en-US" w:eastAsia="zh-CN"/>
        </w:rPr>
        <w:t>系统</w:t>
      </w:r>
      <w:r>
        <w:rPr>
          <w:rFonts w:hint="eastAsia" w:ascii="宋体" w:hAnsi="宋体" w:eastAsia="宋体" w:cs="宋体"/>
          <w:sz w:val="24"/>
          <w:szCs w:val="24"/>
        </w:rPr>
        <w:t>出现故障时须在1小时内响应，4小时内到现场。从接到用户反映问题之时起，7×24小时通过一切适当的通讯手段予以支持。问题解决后24小时内，运维人员须向采购人提交问题处理报告，说明问题类型、问题原因、问题解决方法及所造成的损失等情况。</w:t>
      </w:r>
    </w:p>
    <w:p w14:paraId="1E3BAA6B">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5）本系统的升级更新工作必须保持足够的谨慎小心，更新前应在本机或测试服务器做好严格的测试，并做好相关代码和数据的备份工作，正式更新前必须得到用户确认；更新后必须检查本系统是否可正常运行。</w:t>
      </w:r>
    </w:p>
    <w:p w14:paraId="7262D730">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（6）维护人员应定期（每月最少一次）对系统运行日志、系统运行环境进行检查分析，并做好定期检查的工作记录。检查发现隐患时，应及时通知采购人技术联系人，协商解决办法后及时处理。</w:t>
      </w:r>
    </w:p>
    <w:p w14:paraId="3657A875">
      <w:pPr>
        <w:pStyle w:val="15"/>
        <w:pageBreakBefore w:val="0"/>
        <w:wordWrap/>
        <w:overflowPunct/>
        <w:topLinePunct w:val="0"/>
        <w:bidi w:val="0"/>
        <w:snapToGrid w:val="0"/>
        <w:spacing w:line="360" w:lineRule="auto"/>
        <w:ind w:firstLine="560"/>
        <w:rPr>
          <w:rFonts w:hint="eastAsia" w:ascii="宋体" w:hAnsi="宋体" w:eastAsia="宋体" w:cs="宋体"/>
          <w:sz w:val="24"/>
          <w:szCs w:val="24"/>
        </w:rPr>
      </w:pPr>
      <w:r>
        <w:rPr>
          <w:rFonts w:hint="eastAsia" w:ascii="宋体" w:hAnsi="宋体" w:eastAsia="宋体" w:cs="宋体"/>
          <w:sz w:val="24"/>
          <w:szCs w:val="24"/>
        </w:rPr>
        <w:t>（7）维护人员按采购人具体要求对本系统程序、数据库以及其他数据进行备份。</w:t>
      </w:r>
    </w:p>
    <w:p w14:paraId="7413D397">
      <w:pPr>
        <w:pStyle w:val="15"/>
        <w:pageBreakBefore w:val="0"/>
        <w:wordWrap/>
        <w:overflowPunct/>
        <w:topLinePunct w:val="0"/>
        <w:bidi w:val="0"/>
        <w:snapToGrid w:val="0"/>
        <w:spacing w:line="360" w:lineRule="auto"/>
        <w:ind w:firstLine="56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（8）在免费运维期内，中标人应负责本项目升级改造系统的问题处理及性能优化，保障系统稳定运行等服务。</w:t>
      </w:r>
    </w:p>
    <w:p w14:paraId="171D0B3F">
      <w:pPr>
        <w:pStyle w:val="16"/>
        <w:keepNext w:val="0"/>
        <w:keepLines w:val="0"/>
        <w:pageBreakBefore w:val="0"/>
        <w:numPr>
          <w:ilvl w:val="0"/>
          <w:numId w:val="0"/>
        </w:numPr>
        <w:kinsoku/>
        <w:overflowPunct/>
        <w:topLinePunct w:val="0"/>
        <w:bidi w:val="0"/>
        <w:snapToGrid w:val="0"/>
        <w:spacing w:beforeAutospacing="0" w:line="360" w:lineRule="auto"/>
        <w:ind w:firstLine="482" w:firstLineChars="200"/>
        <w:textAlignment w:val="auto"/>
        <w:rPr>
          <w:rFonts w:hint="eastAsia" w:ascii="宋体" w:hAnsi="宋体" w:eastAsia="宋体" w:cs="宋体"/>
          <w:b/>
          <w:color w:val="auto"/>
          <w:szCs w:val="24"/>
          <w:highlight w:val="none"/>
        </w:rPr>
        <w:sectPr>
          <w:footerReference r:id="rId3" w:type="default"/>
          <w:pgSz w:w="11906" w:h="16838"/>
          <w:pgMar w:top="1417" w:right="1417" w:bottom="1134" w:left="1417" w:header="850" w:footer="850" w:gutter="0"/>
          <w:pgNumType w:fmt="decimal" w:start="1"/>
          <w:cols w:space="720" w:num="1"/>
          <w:rtlGutter w:val="0"/>
          <w:docGrid w:type="lines" w:linePitch="312" w:charSpace="0"/>
        </w:sectPr>
      </w:pPr>
      <w:bookmarkStart w:id="59" w:name="_GoBack"/>
      <w:bookmarkEnd w:id="59"/>
      <w:r>
        <w:rPr>
          <w:rFonts w:hint="eastAsia" w:ascii="宋体" w:hAnsi="宋体" w:eastAsia="宋体" w:cs="宋体"/>
          <w:b/>
          <w:bCs/>
          <w:color w:val="auto"/>
          <w:kern w:val="0"/>
          <w:sz w:val="24"/>
          <w:szCs w:val="24"/>
          <w:highlight w:val="none"/>
          <w:lang w:val="en-US" w:eastAsia="zh-CN" w:bidi="ar-SA"/>
        </w:rPr>
        <w:t>注：标注“★”为实质性要求，不能出现任何负偏离，发生负偏离即做无效响应处理。负偏离是指磋商所提交响应文件的内容劣于或经磋商小组认定不满足磋商文件的情形。</w:t>
      </w:r>
    </w:p>
    <w:p w14:paraId="2527D5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2049">
    <w:pPr>
      <w:pStyle w:val="9"/>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47945A24">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W2MYb9ABAACkAwAADgAAAAAAAAABACAAAAAeAQAAZHJz&#10;L2Uyb0RvYy54bWxQSwUGAAAAAAYABgBZAQAAYAUAAAAA&#10;">
              <v:path/>
              <v:fill on="f" focussize="0,0"/>
              <v:stroke on="f"/>
              <v:imagedata o:title=""/>
              <o:lock v:ext="edit" aspectratio="f"/>
              <v:textbox inset="0mm,0mm,0mm,0mm" style="mso-fit-shape-to-text:t;">
                <w:txbxContent>
                  <w:p w14:paraId="47945A24">
                    <w:pPr>
                      <w:pStyle w:val="9"/>
                    </w:pPr>
                    <w:r>
                      <w:rPr>
                        <w:rFonts w:hint="eastAsia"/>
                      </w:rPr>
                      <w:fldChar w:fldCharType="begin"/>
                    </w:r>
                    <w:r>
                      <w:rPr>
                        <w:rFonts w:hint="eastAsia"/>
                      </w:rPr>
                      <w:instrText xml:space="preserve"> PAGE  \* MERGEFORMAT </w:instrText>
                    </w:r>
                    <w:r>
                      <w:rPr>
                        <w:rFonts w:hint="eastAsia"/>
                      </w:rPr>
                      <w:fldChar w:fldCharType="separate"/>
                    </w:r>
                    <w:r>
                      <w:t>20</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EC9AF"/>
    <w:multiLevelType w:val="singleLevel"/>
    <w:tmpl w:val="970EC9AF"/>
    <w:lvl w:ilvl="0" w:tentative="0">
      <w:start w:val="2"/>
      <w:numFmt w:val="chineseCounting"/>
      <w:suff w:val="nothing"/>
      <w:lvlText w:val="（%1）"/>
      <w:lvlJc w:val="left"/>
      <w:rPr>
        <w:rFonts w:hint="eastAsia"/>
      </w:rPr>
    </w:lvl>
  </w:abstractNum>
  <w:abstractNum w:abstractNumId="1">
    <w:nsid w:val="12DD6F53"/>
    <w:multiLevelType w:val="multilevel"/>
    <w:tmpl w:val="12DD6F53"/>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314727F0"/>
    <w:multiLevelType w:val="multilevel"/>
    <w:tmpl w:val="314727F0"/>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3DD44074"/>
    <w:multiLevelType w:val="multilevel"/>
    <w:tmpl w:val="3DD44074"/>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5B5D3702"/>
    <w:multiLevelType w:val="multilevel"/>
    <w:tmpl w:val="5B5D3702"/>
    <w:lvl w:ilvl="0" w:tentative="0">
      <w:start w:val="1"/>
      <w:numFmt w:val="decimal"/>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7FB6649C"/>
    <w:multiLevelType w:val="singleLevel"/>
    <w:tmpl w:val="7FB6649C"/>
    <w:lvl w:ilvl="0" w:tentative="0">
      <w:start w:val="1"/>
      <w:numFmt w:val="decimal"/>
      <w:suff w:val="nothing"/>
      <w:lvlText w:val="%1）"/>
      <w:lvlJc w:val="left"/>
    </w:lvl>
  </w:abstractNum>
  <w:num w:numId="1">
    <w:abstractNumId w:val="0"/>
  </w:num>
  <w:num w:numId="2">
    <w:abstractNumId w:val="5"/>
  </w:num>
  <w:num w:numId="3">
    <w:abstractNumId w:val="1"/>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8F6803"/>
    <w:rsid w:val="118F6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spacing w:before="20" w:beforeLines="20" w:after="20" w:afterLines="20" w:line="500" w:lineRule="exact"/>
      <w:jc w:val="center"/>
      <w:outlineLvl w:val="0"/>
    </w:pPr>
    <w:rPr>
      <w:rFonts w:ascii="Times New Roman" w:hAnsi="Times New Roman"/>
      <w:b/>
      <w:color w:val="000000"/>
      <w:kern w:val="0"/>
      <w:sz w:val="24"/>
      <w:szCs w:val="20"/>
    </w:rPr>
  </w:style>
  <w:style w:type="paragraph" w:styleId="5">
    <w:name w:val="heading 2"/>
    <w:basedOn w:val="1"/>
    <w:next w:val="1"/>
    <w:qFormat/>
    <w:uiPriority w:val="0"/>
    <w:pPr>
      <w:keepNext/>
      <w:keepLines/>
      <w:spacing w:beforeAutospacing="1" w:afterAutospacing="1" w:line="360" w:lineRule="auto"/>
      <w:outlineLvl w:val="1"/>
    </w:pPr>
    <w:rPr>
      <w:rFonts w:ascii="Cambria" w:hAnsi="Cambria" w:eastAsia="宋体" w:cs="Times New Roman"/>
      <w:b/>
      <w:bCs/>
      <w:sz w:val="30"/>
      <w:szCs w:val="32"/>
    </w:rPr>
  </w:style>
  <w:style w:type="paragraph" w:styleId="6">
    <w:name w:val="heading 3"/>
    <w:basedOn w:val="1"/>
    <w:next w:val="1"/>
    <w:qFormat/>
    <w:uiPriority w:val="0"/>
    <w:pPr>
      <w:keepNext/>
      <w:keepLines/>
      <w:jc w:val="center"/>
      <w:outlineLvl w:val="2"/>
    </w:pPr>
    <w:rPr>
      <w:rFonts w:ascii="微软雅黑" w:hAnsi="微软雅黑" w:eastAsia="宋体"/>
      <w:b/>
      <w:sz w:val="84"/>
    </w:rPr>
  </w:style>
  <w:style w:type="paragraph" w:styleId="7">
    <w:name w:val="heading 4"/>
    <w:basedOn w:val="1"/>
    <w:next w:val="1"/>
    <w:unhideWhenUsed/>
    <w:qFormat/>
    <w:uiPriority w:val="9"/>
    <w:pPr>
      <w:keepNext/>
      <w:keepLines/>
      <w:widowControl w:val="0"/>
      <w:kinsoku/>
      <w:autoSpaceDE/>
      <w:autoSpaceDN/>
      <w:adjustRightInd/>
      <w:snapToGrid/>
      <w:spacing w:before="280" w:after="290" w:line="376" w:lineRule="auto"/>
      <w:jc w:val="both"/>
      <w:textAlignment w:val="auto"/>
      <w:outlineLvl w:val="3"/>
    </w:pPr>
    <w:rPr>
      <w:rFonts w:ascii="Cambria" w:hAnsi="Cambria" w:eastAsia="宋体" w:cs="Times New Roman"/>
      <w:b/>
      <w:bCs/>
      <w:snapToGrid/>
      <w:color w:val="auto"/>
      <w:kern w:val="2"/>
      <w:sz w:val="28"/>
      <w:szCs w:val="28"/>
      <w:lang w:eastAsia="zh-CN"/>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spacing w:line="500" w:lineRule="exact"/>
      <w:ind w:firstLine="555"/>
    </w:pPr>
    <w:rPr>
      <w:rFonts w:ascii="宋体" w:hAnsi="宋体"/>
      <w:sz w:val="24"/>
      <w:szCs w:val="24"/>
    </w:rPr>
  </w:style>
  <w:style w:type="paragraph" w:styleId="8">
    <w:name w:val="Body Text"/>
    <w:basedOn w:val="1"/>
    <w:qFormat/>
    <w:uiPriority w:val="0"/>
    <w:pPr>
      <w:spacing w:after="120"/>
    </w:pPr>
    <w:rPr>
      <w:rFonts w:ascii="Calibri" w:hAnsi="Calibri"/>
      <w:kern w:val="0"/>
      <w:sz w:val="20"/>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w:basedOn w:val="8"/>
    <w:qFormat/>
    <w:uiPriority w:val="99"/>
    <w:pPr>
      <w:spacing w:after="0" w:line="360" w:lineRule="auto"/>
      <w:ind w:left="730" w:firstLine="200" w:firstLineChars="200"/>
      <w:jc w:val="left"/>
    </w:pPr>
    <w:rPr>
      <w:rFonts w:ascii="宋体" w:hAnsi="宋体"/>
      <w:kern w:val="0"/>
      <w:sz w:val="23"/>
      <w:szCs w:val="23"/>
      <w:lang w:eastAsia="en-US"/>
    </w:rPr>
  </w:style>
  <w:style w:type="paragraph" w:customStyle="1" w:styleId="13">
    <w:name w:val="0正文"/>
    <w:basedOn w:val="1"/>
    <w:qFormat/>
    <w:uiPriority w:val="0"/>
    <w:pPr>
      <w:widowControl w:val="0"/>
      <w:kinsoku/>
      <w:autoSpaceDE/>
      <w:autoSpaceDN/>
      <w:adjustRightInd/>
      <w:snapToGrid/>
      <w:spacing w:before="30" w:beforeLines="30" w:line="360" w:lineRule="auto"/>
      <w:ind w:firstLine="200" w:firstLineChars="200"/>
      <w:jc w:val="both"/>
      <w:textAlignment w:val="auto"/>
    </w:pPr>
    <w:rPr>
      <w:rFonts w:ascii="Times New Roman" w:hAnsi="Times New Roman" w:eastAsia="宋体" w:cs="宋体"/>
      <w:snapToGrid/>
      <w:color w:val="auto"/>
      <w:kern w:val="2"/>
      <w:sz w:val="24"/>
      <w:szCs w:val="20"/>
      <w:lang w:eastAsia="zh-CN"/>
    </w:rPr>
  </w:style>
  <w:style w:type="paragraph" w:styleId="14">
    <w:name w:val="List Paragraph"/>
    <w:basedOn w:val="1"/>
    <w:qFormat/>
    <w:uiPriority w:val="34"/>
    <w:pPr>
      <w:widowControl w:val="0"/>
      <w:kinsoku/>
      <w:autoSpaceDE/>
      <w:autoSpaceDN/>
      <w:adjustRightInd/>
      <w:snapToGrid/>
      <w:ind w:firstLine="420" w:firstLineChars="200"/>
      <w:jc w:val="both"/>
      <w:textAlignment w:val="auto"/>
    </w:pPr>
    <w:rPr>
      <w:rFonts w:ascii="Calibri" w:hAnsi="Calibri" w:eastAsia="宋体" w:cs="Times New Roman"/>
      <w:snapToGrid/>
      <w:color w:val="auto"/>
      <w:kern w:val="2"/>
      <w:szCs w:val="22"/>
      <w:lang w:eastAsia="zh-CN"/>
    </w:rPr>
  </w:style>
  <w:style w:type="paragraph" w:customStyle="1" w:styleId="15">
    <w:name w:val="正文_0"/>
    <w:qFormat/>
    <w:uiPriority w:val="0"/>
    <w:rPr>
      <w:rFonts w:ascii="Times New Roman" w:hAnsi="Times New Roman" w:eastAsia="宋体" w:cs="Times New Roman"/>
      <w:kern w:val="2"/>
      <w:sz w:val="24"/>
      <w:szCs w:val="24"/>
      <w:lang w:val="en-US" w:eastAsia="zh-CN" w:bidi="mn-Mong-CN"/>
    </w:rPr>
  </w:style>
  <w:style w:type="paragraph" w:customStyle="1" w:styleId="16">
    <w:name w:val="首行缩进"/>
    <w:basedOn w:val="1"/>
    <w:qFormat/>
    <w:uiPriority w:val="0"/>
    <w:pPr>
      <w:spacing w:line="360" w:lineRule="auto"/>
      <w:ind w:firstLine="480" w:firstLineChars="200"/>
    </w:pPr>
    <w:rPr>
      <w:sz w:val="24"/>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2026-03-02T07:03:00Z</dcterms:created>
  <dc:creator>柳絮飞</dc:creator>
  <cp:lastModifiedBy>柳絮飞</cp:lastModifiedBy>
  <dcterms:modified xsi:type="dcterms:W3CDTF">2026-03-02T07:04:32Z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BE398D1F9BD84AA98E5A5F8E27DD212F_11</vt:lpwstr>
  </property>
  <property fmtid="{D5CDD505-2E9C-101B-9397-08002B2CF9AE}" pid="4" name="KSOTemplateDocerSaveRecord">
    <vt:lpwstr>eyJoZGlkIjoiOWE1NmUwMmVjNjU2YzcwMDFmMzY3NzA5Mjc3MGE3YTQiLCJ1c2VySWQiOiIzMTIwNTAyMzUifQ==</vt:lpwstr>
  </property>
</Properties>
</file>