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715F">
      <w:pPr>
        <w:spacing w:after="0" w:line="360" w:lineRule="auto"/>
        <w:ind w:firstLine="482" w:firstLineChars="200"/>
        <w:rPr>
          <w:rFonts w:hint="eastAsia" w:ascii="宋体" w:hAnsi="宋体" w:eastAsia="宋体" w:cs="宋体"/>
          <w:b/>
          <w:color w:val="auto"/>
          <w:sz w:val="24"/>
          <w:szCs w:val="24"/>
          <w:highlight w:val="none"/>
        </w:rPr>
      </w:pPr>
      <w:bookmarkStart w:id="0" w:name="_Toc29215"/>
      <w:r>
        <w:rPr>
          <w:rFonts w:hint="eastAsia" w:ascii="宋体" w:hAnsi="宋体" w:eastAsia="宋体" w:cs="宋体"/>
          <w:b/>
          <w:color w:val="auto"/>
          <w:sz w:val="24"/>
          <w:szCs w:val="24"/>
          <w:highlight w:val="none"/>
        </w:rPr>
        <w:t>一、项目背景</w:t>
      </w:r>
    </w:p>
    <w:p w14:paraId="2513556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天津市滨海新区中医医院杭州道院区位于天津市滨海新区塘沽杭州道90号。</w:t>
      </w:r>
      <w:r>
        <w:rPr>
          <w:rFonts w:hint="eastAsia" w:ascii="宋体" w:hAnsi="宋体" w:eastAsia="宋体" w:cs="宋体"/>
          <w:color w:val="auto"/>
          <w:sz w:val="24"/>
          <w:szCs w:val="24"/>
          <w:highlight w:val="none"/>
          <w:lang w:val="en-US" w:eastAsia="zh-CN"/>
        </w:rPr>
        <w:t>目前</w:t>
      </w:r>
      <w:r>
        <w:rPr>
          <w:rFonts w:hint="eastAsia" w:ascii="宋体" w:hAnsi="宋体" w:eastAsia="宋体" w:cs="宋体"/>
          <w:color w:val="auto"/>
          <w:sz w:val="24"/>
          <w:szCs w:val="24"/>
          <w:highlight w:val="none"/>
        </w:rPr>
        <w:t>项目占地总面积33128平方米，建筑面积22655.48平方米。项目包括门诊楼（A座）、住院楼（E座）、门诊住院楼（B座）、科研教学楼（C座）、行政办公楼（D座）及设备用房包括变/配电室、地源热泵中央空调机房、液氧站等附属配套用房；医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生活垃圾暂存站</w:t>
      </w:r>
      <w:r>
        <w:rPr>
          <w:rFonts w:hint="eastAsia" w:ascii="宋体" w:hAnsi="宋体" w:eastAsia="宋体" w:cs="宋体"/>
          <w:color w:val="auto"/>
          <w:sz w:val="24"/>
          <w:szCs w:val="24"/>
          <w:highlight w:val="none"/>
        </w:rPr>
        <w:t>;项目附属设施设备主要有供配电系统、公共照明系统、给排水系统、安防系统、消防系统、电梯系统、中央空调系统、弱电系统、卫星天线系统、电话系统等</w:t>
      </w:r>
    </w:p>
    <w:p w14:paraId="554F439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北塘</w:t>
      </w:r>
      <w:r>
        <w:rPr>
          <w:rFonts w:hint="eastAsia" w:ascii="宋体" w:hAnsi="宋体" w:eastAsia="宋体" w:cs="宋体"/>
          <w:color w:val="auto"/>
          <w:sz w:val="24"/>
          <w:szCs w:val="24"/>
          <w:highlight w:val="none"/>
          <w:lang w:val="en-US" w:eastAsia="zh-CN"/>
        </w:rPr>
        <w:t>院区</w:t>
      </w:r>
      <w:r>
        <w:rPr>
          <w:rFonts w:hint="eastAsia" w:ascii="宋体" w:hAnsi="宋体" w:eastAsia="宋体" w:cs="宋体"/>
          <w:color w:val="auto"/>
          <w:sz w:val="24"/>
          <w:szCs w:val="24"/>
          <w:highlight w:val="none"/>
        </w:rPr>
        <w:t>用地面积6.66万平方米，建筑面积1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.2万平方米</w:t>
      </w:r>
      <w:r>
        <w:rPr>
          <w:rFonts w:hint="eastAsia" w:ascii="宋体" w:hAnsi="宋体" w:eastAsia="宋体" w:cs="宋体"/>
          <w:color w:val="auto"/>
          <w:sz w:val="24"/>
          <w:szCs w:val="24"/>
          <w:highlight w:val="none"/>
          <w:lang w:val="en-US" w:eastAsia="zh-CN"/>
        </w:rPr>
        <w:t>,二期建筑面积约4.2万平方米（拟于2026年投入使用）。目前一期开放</w:t>
      </w:r>
      <w:r>
        <w:rPr>
          <w:rFonts w:hint="eastAsia" w:ascii="宋体" w:hAnsi="宋体" w:eastAsia="宋体" w:cs="宋体"/>
          <w:color w:val="auto"/>
          <w:sz w:val="24"/>
          <w:szCs w:val="24"/>
          <w:highlight w:val="none"/>
        </w:rPr>
        <w:t>床位数</w:t>
      </w:r>
      <w:r>
        <w:rPr>
          <w:rFonts w:hint="eastAsia" w:ascii="宋体" w:hAnsi="宋体" w:eastAsia="宋体" w:cs="宋体"/>
          <w:color w:val="auto"/>
          <w:sz w:val="24"/>
          <w:szCs w:val="24"/>
          <w:highlight w:val="none"/>
          <w:lang w:val="en-US" w:eastAsia="zh-CN"/>
        </w:rPr>
        <w:t>620</w:t>
      </w:r>
      <w:r>
        <w:rPr>
          <w:rFonts w:hint="eastAsia" w:ascii="宋体" w:hAnsi="宋体" w:eastAsia="宋体" w:cs="宋体"/>
          <w:color w:val="auto"/>
          <w:sz w:val="24"/>
          <w:szCs w:val="24"/>
          <w:highlight w:val="none"/>
        </w:rPr>
        <w:t>张，包括急诊楼（A座）、门诊综合楼（B座）、治未病楼（C座）、住院楼及配套用房（包括医疗垃圾暂存处、生活垃圾暂存处、药渣暂存处等附属配套用房）。附属设施设备主要有供配电系统、公共照明系统、给排水系统、安防系统、消防系统、电梯系统、空调通风系统、弱电系统、电话系统等。</w:t>
      </w:r>
    </w:p>
    <w:p w14:paraId="6C9C5CC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为进一步建立健全医院安全体系</w:t>
      </w:r>
      <w:r>
        <w:rPr>
          <w:rFonts w:hint="eastAsia" w:ascii="宋体" w:hAnsi="宋体" w:eastAsia="宋体" w:cs="宋体"/>
          <w:color w:val="auto"/>
          <w:sz w:val="24"/>
          <w:szCs w:val="24"/>
          <w:highlight w:val="none"/>
          <w:lang w:val="en-US" w:eastAsia="zh-CN"/>
        </w:rPr>
        <w:t>机制</w:t>
      </w:r>
      <w:r>
        <w:rPr>
          <w:rFonts w:hint="eastAsia" w:ascii="宋体" w:hAnsi="宋体" w:eastAsia="宋体" w:cs="宋体"/>
          <w:color w:val="auto"/>
          <w:sz w:val="24"/>
          <w:szCs w:val="24"/>
          <w:highlight w:val="none"/>
        </w:rPr>
        <w:t>，排查医院存在的安全隐患问题，</w:t>
      </w:r>
      <w:r>
        <w:rPr>
          <w:rFonts w:hint="eastAsia" w:ascii="宋体" w:hAnsi="宋体" w:eastAsia="宋体" w:cs="宋体"/>
          <w:color w:val="auto"/>
          <w:sz w:val="24"/>
          <w:szCs w:val="24"/>
          <w:highlight w:val="none"/>
          <w:lang w:val="en-US" w:eastAsia="zh-CN"/>
        </w:rPr>
        <w:t>化解</w:t>
      </w:r>
      <w:r>
        <w:rPr>
          <w:rFonts w:hint="eastAsia" w:ascii="宋体" w:hAnsi="宋体" w:eastAsia="宋体" w:cs="宋体"/>
          <w:color w:val="auto"/>
          <w:sz w:val="24"/>
          <w:szCs w:val="24"/>
          <w:highlight w:val="none"/>
        </w:rPr>
        <w:t>医院安全风险评估，杜绝安全事故的发生，需第三方安全技术专业公司提供如下服务内容：对天津市滨海新区中医医院双院区全年安全生产工作提供技术服务，内容有安全体系的</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rPr>
        <w:t>、相关服务单位及维保单位安全监管体系的</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rPr>
        <w:t>、安全生产培训（计划、档案）、安全资金使用（计划，使用台账，票据整理，档案）、安全检查及复查、</w:t>
      </w:r>
      <w:r>
        <w:rPr>
          <w:rFonts w:hint="eastAsia" w:ascii="宋体" w:hAnsi="宋体" w:eastAsia="宋体" w:cs="宋体"/>
          <w:color w:val="auto"/>
          <w:sz w:val="24"/>
          <w:szCs w:val="24"/>
          <w:highlight w:val="none"/>
          <w:lang w:val="en-US" w:eastAsia="zh-CN"/>
        </w:rPr>
        <w:t>修订</w:t>
      </w:r>
      <w:r>
        <w:rPr>
          <w:rFonts w:hint="eastAsia" w:ascii="宋体" w:hAnsi="宋体" w:eastAsia="宋体" w:cs="宋体"/>
          <w:color w:val="auto"/>
          <w:sz w:val="24"/>
          <w:szCs w:val="24"/>
          <w:highlight w:val="none"/>
        </w:rPr>
        <w:t>应急预案、开展应急演练（计划，脚本、培训、演练、总结、档案）、上级文件专项执行（方案、宣贯、检查、报表、报告、总结、档案）、协助处理接受上级部门督查相关工作、全年安全咨询服务、安全双重预防机制建立等安全技术服务。</w:t>
      </w:r>
    </w:p>
    <w:p w14:paraId="09FE0E8E">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Hans"/>
        </w:rPr>
        <w:t>二、预算金额</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lang w:val="en-US" w:eastAsia="zh-CN"/>
        </w:rPr>
        <w:t>6.85</w:t>
      </w:r>
      <w:r>
        <w:rPr>
          <w:rFonts w:hint="eastAsia" w:ascii="宋体" w:hAnsi="宋体" w:eastAsia="宋体" w:cs="宋体"/>
          <w:color w:val="auto"/>
          <w:sz w:val="24"/>
          <w:szCs w:val="24"/>
          <w:highlight w:val="none"/>
        </w:rPr>
        <w:t>万元/年。</w:t>
      </w:r>
      <w:r>
        <w:rPr>
          <w:rFonts w:hint="eastAsia" w:ascii="宋体" w:hAnsi="宋体" w:eastAsia="宋体" w:cs="宋体"/>
          <w:color w:val="auto"/>
          <w:sz w:val="24"/>
          <w:szCs w:val="24"/>
          <w:highlight w:val="none"/>
          <w:lang w:val="en-US" w:eastAsia="zh-CN"/>
        </w:rPr>
        <w:t>20.55</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p>
    <w:p w14:paraId="29B48702">
      <w:pPr>
        <w:spacing w:after="0"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资格要求</w:t>
      </w:r>
      <w:r>
        <w:rPr>
          <w:rFonts w:hint="eastAsia" w:ascii="宋体" w:hAnsi="宋体" w:eastAsia="宋体" w:cs="宋体"/>
          <w:color w:val="auto"/>
          <w:sz w:val="24"/>
          <w:szCs w:val="24"/>
          <w:highlight w:val="none"/>
          <w:lang w:val="en-US" w:eastAsia="zh-CN"/>
        </w:rPr>
        <w:t>：</w:t>
      </w:r>
    </w:p>
    <w:p w14:paraId="1578AA8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1、营业执照副本或事业单位法人证书或民办非企业单位登记证书或社会团体法人登记证书或基金会法人登记证书扫描件或复印件并加盖公章。</w:t>
      </w:r>
    </w:p>
    <w:p w14:paraId="6888B12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2、财务状况报告等相关材料：提供</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年度经第三方会计师事务所审计的企业财务报告或提交响应文件截止日期前近3个月内银行出具的资信证明复印件并加盖公章。</w:t>
      </w:r>
    </w:p>
    <w:p w14:paraId="4207BAA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提供2025</w:t>
      </w:r>
      <w:r>
        <w:rPr>
          <w:rFonts w:hint="eastAsia" w:ascii="宋体" w:hAnsi="宋体" w:eastAsia="宋体" w:cs="宋体"/>
          <w:color w:val="auto"/>
          <w:sz w:val="24"/>
          <w:szCs w:val="24"/>
          <w:highlight w:val="none"/>
        </w:rPr>
        <w:t>度</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rPr>
        <w:t>至少1个月的依法缴纳税收和社会保险费的相关证明材料扫描件或复印件并加盖公章。</w:t>
      </w:r>
    </w:p>
    <w:p w14:paraId="465BD5AA">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3D49CFF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本项目不接受联合体投标。</w:t>
      </w:r>
    </w:p>
    <w:p w14:paraId="79A8A978">
      <w:pPr>
        <w:spacing w:after="0"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val="en-US" w:eastAsia="zh-CN"/>
        </w:rPr>
        <w:t>要求</w:t>
      </w:r>
    </w:p>
    <w:p w14:paraId="04F576F9">
      <w:pPr>
        <w:keepNext w:val="0"/>
        <w:keepLines w:val="0"/>
        <w:pageBreakBefore w:val="0"/>
        <w:widowControl w:val="0"/>
        <w:numPr>
          <w:ilvl w:val="0"/>
          <w:numId w:val="1"/>
        </w:numPr>
        <w:kinsoku/>
        <w:wordWrap/>
        <w:overflowPunct/>
        <w:topLinePunct w:val="0"/>
        <w:bidi w:val="0"/>
        <w:snapToGrid w:val="0"/>
        <w:spacing w:line="360" w:lineRule="auto"/>
        <w:ind w:left="0" w:leftChars="0" w:firstLine="376" w:firstLineChars="15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具备为采购人提供安全生产检查等服务的能力，能严格按照国家有关标准、行业规范和技术规定开展评价工作，及时发现安全隐患，提出整改措施，落实准确到位。提供承诺书。</w:t>
      </w:r>
    </w:p>
    <w:p w14:paraId="0AE00188">
      <w:pPr>
        <w:keepNext w:val="0"/>
        <w:keepLines w:val="0"/>
        <w:pageBreakBefore w:val="0"/>
        <w:widowControl w:val="0"/>
        <w:numPr>
          <w:ilvl w:val="0"/>
          <w:numId w:val="1"/>
        </w:numPr>
        <w:kinsoku/>
        <w:wordWrap/>
        <w:overflowPunct/>
        <w:topLinePunct w:val="0"/>
        <w:bidi w:val="0"/>
        <w:snapToGrid w:val="0"/>
        <w:spacing w:line="360" w:lineRule="auto"/>
        <w:ind w:left="0" w:leftChars="0" w:firstLine="376" w:firstLineChars="15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能提供国家应急管理局提供社会消防技术服务信息系统（https://shhxf.119.gov.cn/）注册成功截图社会消防技术服务信息系统材料，可提供系统及供应商所在页的截图。</w:t>
      </w:r>
    </w:p>
    <w:p w14:paraId="735822F8">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五、拟派</w:t>
      </w:r>
      <w:r>
        <w:rPr>
          <w:rFonts w:hint="eastAsia" w:ascii="宋体" w:hAnsi="宋体" w:eastAsia="宋体" w:cs="宋体"/>
          <w:b/>
          <w:color w:val="auto"/>
          <w:sz w:val="24"/>
          <w:szCs w:val="24"/>
          <w:highlight w:val="none"/>
        </w:rPr>
        <w:t>人员要求</w:t>
      </w:r>
    </w:p>
    <w:p w14:paraId="2651E23C">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1、拟派人员不少于10人，至少包含注册安全工程师2名，一级注册消防工程师1名，一级安全评价师1名，并提供相应资格证书。</w:t>
      </w:r>
    </w:p>
    <w:p w14:paraId="655A6103">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2、具有省级以上消防救援总队防火工作专家库名单内的专家，安全工程、电气、机械相关专业高级工程师等工作人员的提供相应资格证书。</w:t>
      </w:r>
    </w:p>
    <w:p w14:paraId="3D248A7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3、提供与项目拟派人员在投标截止时间前3个月内任意1个月的依法缴纳社会保险的相关证明材料（退休人员提供退休证和聘用协议）。</w:t>
      </w:r>
    </w:p>
    <w:p w14:paraId="618F6F0C">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服务内容</w:t>
      </w:r>
    </w:p>
    <w:p w14:paraId="716681E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严格按照国家法律法规要求，如《中华人民共和国安全生产法》、《中华人民共和国消防法》、《中华人民共和国特种设备安全法》、《生产安全事故报告和调查处理条例》、《生产经营单位安全培训规定》，应急管理局的相关规范、标准及《医疗和疾控机构后勤安全生产工作管理指南》、《医疗和疾控机构后勤消防安全生产工作管理指南》等相关要求，恪守第三方公正立场，公开、合法、公正地开展工作，为采购人提供规范的安全生产检查相关服务。并能随国家新要求及时调整相关工作，做到与时俱进。</w:t>
      </w:r>
    </w:p>
    <w:p w14:paraId="68BD67E9">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2.根据项目要求制定实施方案及进工作进度表，并按时实施。   </w:t>
      </w:r>
    </w:p>
    <w:p w14:paraId="5F680E4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3.保证服务质量，充分接受院方的正常要求和条件，结合本单位实际情况，协助采购人修订工作制度及流程。同时帮助审核相关单位安全工作制度及安全工作预案。</w:t>
      </w:r>
    </w:p>
    <w:p w14:paraId="05922B3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4.进一步完善采购人的安全管理体系及双重预防机制，在要求时间内完成年度安全管理体系及双重预防机制手册1册，包含但不限于</w:t>
      </w:r>
      <w:r>
        <w:rPr>
          <w:rFonts w:hint="eastAsia" w:ascii="宋体" w:hAnsi="宋体" w:eastAsia="宋体" w:cs="宋体"/>
          <w:color w:val="auto"/>
          <w:sz w:val="24"/>
          <w:szCs w:val="24"/>
          <w:highlight w:val="none"/>
        </w:rPr>
        <w:t>安全生产培训（计划、档案）、安全资金使用（计划，使用台账）</w:t>
      </w:r>
      <w:r>
        <w:rPr>
          <w:rFonts w:hint="eastAsia" w:ascii="宋体" w:hAnsi="宋体" w:eastAsia="宋体" w:cs="宋体"/>
          <w:color w:val="auto"/>
          <w:sz w:val="24"/>
          <w:szCs w:val="24"/>
          <w:highlight w:val="none"/>
          <w:lang w:val="en-US" w:eastAsia="zh-CN"/>
        </w:rPr>
        <w:t>等。</w:t>
      </w:r>
    </w:p>
    <w:p w14:paraId="6A7ABEB5">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5.进一步完善对相关第三方服务单位的安全监管体系，提交工作手册为1套。建全医院对相关方安全监管体系的要根据医院所辖在建项目和已经运营项目的性质，及对应的安全管理特点及各项目危险源的情况制定。</w:t>
      </w:r>
    </w:p>
    <w:p w14:paraId="226E2CE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6.服务期内根据采购人需求提供安全技术相关法律法规和业务办理等咨询服务，尤其是上级部门专项检查、安全管理、文明施工、高处作业、有限空间作业、动火作业、防汛等。协助做好迎接</w:t>
      </w:r>
      <w:r>
        <w:rPr>
          <w:rFonts w:hint="eastAsia" w:ascii="宋体" w:hAnsi="宋体" w:eastAsia="宋体" w:cs="宋体"/>
          <w:color w:val="auto"/>
          <w:sz w:val="24"/>
          <w:szCs w:val="24"/>
          <w:highlight w:val="none"/>
        </w:rPr>
        <w:t>上级部门督查相关工作。</w:t>
      </w:r>
    </w:p>
    <w:p w14:paraId="00356CB5">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7.为采购人提供安全生产技术培训服务，根据采购人需求制定培训计划，全员范围内的消防培训完成不少于2次/年；每季度安全生产专项培训一次，范围包含医院员工及第三方服务公司工作人员。</w:t>
      </w:r>
    </w:p>
    <w:p w14:paraId="2712989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8.为采购人提供全员消防演练，不少于2次/年。制定演练计划、脚本、培训、演练、总结及归档。演练中设备设施等费用采购人不在另行支付费用。</w:t>
      </w:r>
    </w:p>
    <w:p w14:paraId="7BFDB16A">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9.每月为采购人安全生产工作进行检查及复查，形成36次检查报告，对问题提出整改建议。</w:t>
      </w:r>
    </w:p>
    <w:p w14:paraId="01F4FDBE">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通过资料收集结合实地调研、现场问询和调查问卷、现场实测实量以及对设施进行功能测试等形式，重点围绕:消防安全管理、建筑防火、安全疏散设施、消防设施四方面内容进行消防安全检查，协助变电站，燃气，水电、食品安全等等进行全面的安全指导检查。</w:t>
      </w:r>
    </w:p>
    <w:p w14:paraId="0BA39A61">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11.协助采购人完成上级文件专项执行（方案、宣贯、检查、报表、报告、总结、档案）。平均每月一份文件，提交成果数量为至少36个。</w:t>
      </w:r>
    </w:p>
    <w:p w14:paraId="35B5740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12.协助采购人完善消防安全管理体系建设，协助研究本单位消防安全工作隐患及整改等重大问题。</w:t>
      </w:r>
    </w:p>
    <w:p w14:paraId="1ADCB4D9">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13.在相互配合基础上开展工作，尽最大努力不影响采购人的正常工作程序。</w:t>
      </w:r>
    </w:p>
    <w:p w14:paraId="7A4E5BB9">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建立资料档案管理系统，做好保密工作。对于采购人提供的一切资料（包括但不限于图纸、验收报告、制度、流程等资料），供应商有保密义务，与采购人签订保密协议，因供应商过失造成的一切损失及法律责任由供应商承担。</w:t>
      </w:r>
    </w:p>
    <w:p w14:paraId="7EFC563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如我院发生紧急安全事件，至少2名项目人员1小时内到达现场进行指导。如我院接受上级部门督查，至少2名项目人员1小时内到达现场进行协助。根据事件情况，聘请相关专业专家，组织、勘察、分析、论证，形成论证结论。</w:t>
      </w:r>
    </w:p>
    <w:p w14:paraId="23211140">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16.采购人接管二期工程项目前，提供以安全生产角度的成绩查验服务，依据法律法规、技术规范提出相应的问题及整改建议。提供承接查验报告一份。</w:t>
      </w:r>
    </w:p>
    <w:p w14:paraId="6CB90EF7">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重点协助采购人加强危化品安全管理，包含压力容器、特种设备（包含电梯、液氧贮存罐等）、应急电源、UPS电源、燃气报警设施等安全基础管理、重大危险源安全管理、安全风险分级管控和隐患排查治理双重预防机制、特殊作业许可与作业过程管理等对标评估。</w:t>
      </w:r>
    </w:p>
    <w:p w14:paraId="7BCB5C90">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18.技术服务质量要求：按照采购合同的约定和现行国家标准、行业标准、地方标准进行验收，包括所有客观、量化指标。</w:t>
      </w:r>
    </w:p>
    <w:p w14:paraId="06DBC23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修订医院综合应急预案，至少包含火灾疏散应急预案，自然灾害应急预案，防汛应急预案，伤医事件（暴力案件）应急预案，盗窃等治安事件预案等。包括且不限于国家安全生产监督管理总局令第88号——生产安全事故应急预案管理办法对应急预案的要求，结合医院和医院各相关方的危险源制定应急预案，满足采购人要求。</w:t>
      </w:r>
    </w:p>
    <w:p w14:paraId="51B266C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20.供应商对所提供的报告、文档资料内容的真实性、准确性、合理性负责。</w:t>
      </w:r>
    </w:p>
    <w:p w14:paraId="7F6E108D">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、服务费报价说明：</w:t>
      </w:r>
    </w:p>
    <w:p w14:paraId="5865E49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项目报价中包含服务人员的工资、保险费、管理费、交通费、检测设备及耗材费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评估费、培训费、</w:t>
      </w:r>
      <w:r>
        <w:rPr>
          <w:rFonts w:hint="eastAsia" w:ascii="宋体" w:hAnsi="宋体" w:eastAsia="宋体" w:cs="宋体"/>
          <w:color w:val="auto"/>
          <w:sz w:val="24"/>
          <w:szCs w:val="24"/>
          <w:highlight w:val="none"/>
        </w:rPr>
        <w:t>服务费、税费及利润等全部费用。</w:t>
      </w:r>
    </w:p>
    <w:p w14:paraId="16E2C65D">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、服务付款</w:t>
      </w:r>
      <w:r>
        <w:rPr>
          <w:rFonts w:hint="eastAsia" w:ascii="宋体" w:hAnsi="宋体" w:eastAsia="宋体" w:cs="宋体"/>
          <w:b/>
          <w:color w:val="auto"/>
          <w:sz w:val="24"/>
          <w:szCs w:val="24"/>
          <w:highlight w:val="none"/>
          <w:lang w:val="en-US" w:eastAsia="zh-CN"/>
        </w:rPr>
        <w:t>方式</w:t>
      </w:r>
      <w:r>
        <w:rPr>
          <w:rFonts w:hint="eastAsia" w:ascii="宋体" w:hAnsi="宋体" w:eastAsia="宋体" w:cs="宋体"/>
          <w:b/>
          <w:color w:val="auto"/>
          <w:sz w:val="24"/>
          <w:szCs w:val="24"/>
          <w:highlight w:val="none"/>
        </w:rPr>
        <w:t>与考核</w:t>
      </w:r>
    </w:p>
    <w:p w14:paraId="1BAFE8A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1、付款</w:t>
      </w:r>
      <w:r>
        <w:rPr>
          <w:rFonts w:hint="eastAsia" w:ascii="宋体" w:hAnsi="宋体" w:eastAsia="宋体" w:cs="宋体"/>
          <w:color w:val="auto"/>
          <w:sz w:val="24"/>
          <w:szCs w:val="24"/>
          <w:highlight w:val="none"/>
        </w:rPr>
        <w:t>时间及付款方式</w:t>
      </w:r>
    </w:p>
    <w:p w14:paraId="17B548B7">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项目付款方式为</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度付款，</w:t>
      </w:r>
      <w:r>
        <w:rPr>
          <w:rFonts w:hint="eastAsia" w:ascii="宋体" w:hAnsi="宋体" w:eastAsia="宋体" w:cs="宋体"/>
          <w:color w:val="auto"/>
          <w:sz w:val="24"/>
          <w:szCs w:val="24"/>
          <w:highlight w:val="none"/>
          <w:lang w:val="en-US" w:eastAsia="zh-CN"/>
        </w:rPr>
        <w:t>服务质量考核合格后，凭供应商开具的发票</w:t>
      </w:r>
      <w:r>
        <w:rPr>
          <w:rFonts w:hint="eastAsia" w:ascii="宋体" w:hAnsi="宋体" w:eastAsia="宋体" w:cs="宋体"/>
          <w:color w:val="auto"/>
          <w:sz w:val="24"/>
          <w:szCs w:val="24"/>
          <w:highlight w:val="none"/>
        </w:rPr>
        <w:t>付上</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度的服务费，采用电汇方式（特殊情况以合同为准）</w:t>
      </w:r>
      <w:r>
        <w:rPr>
          <w:rFonts w:hint="eastAsia" w:ascii="宋体" w:hAnsi="宋体" w:eastAsia="宋体" w:cs="宋体"/>
          <w:color w:val="auto"/>
          <w:sz w:val="24"/>
          <w:szCs w:val="24"/>
          <w:highlight w:val="none"/>
          <w:lang w:val="zh-CN"/>
        </w:rPr>
        <w:t>。</w:t>
      </w:r>
    </w:p>
    <w:p w14:paraId="1CE1E25C">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按照采购合同的约定和现行国家标准、行业标准或企业标准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及其更新标准，</w:t>
      </w:r>
      <w:r>
        <w:rPr>
          <w:rFonts w:hint="eastAsia" w:ascii="宋体" w:hAnsi="宋体" w:eastAsia="宋体" w:cs="宋体"/>
          <w:color w:val="auto"/>
          <w:sz w:val="24"/>
          <w:szCs w:val="24"/>
          <w:highlight w:val="none"/>
        </w:rPr>
        <w:t>采购人进行考核。分数在90分以上为达标，最终向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结算的费用金额以实际考核后的结果为准。</w:t>
      </w:r>
    </w:p>
    <w:p w14:paraId="134018C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3、月</w:t>
      </w:r>
      <w:r>
        <w:rPr>
          <w:rFonts w:hint="eastAsia" w:ascii="宋体" w:hAnsi="宋体" w:eastAsia="宋体" w:cs="宋体"/>
          <w:color w:val="auto"/>
          <w:sz w:val="24"/>
          <w:szCs w:val="24"/>
          <w:highlight w:val="none"/>
        </w:rPr>
        <w:t>度质量考核未达90分的，采购人有权</w:t>
      </w:r>
      <w:r>
        <w:rPr>
          <w:rFonts w:hint="eastAsia" w:ascii="宋体" w:hAnsi="宋体" w:eastAsia="宋体" w:cs="宋体"/>
          <w:color w:val="auto"/>
          <w:sz w:val="24"/>
          <w:szCs w:val="24"/>
          <w:highlight w:val="none"/>
          <w:lang w:val="en-US" w:eastAsia="zh-CN"/>
        </w:rPr>
        <w:t>按比例</w:t>
      </w:r>
      <w:r>
        <w:rPr>
          <w:rFonts w:hint="eastAsia" w:ascii="宋体" w:hAnsi="宋体" w:eastAsia="宋体" w:cs="宋体"/>
          <w:color w:val="auto"/>
          <w:sz w:val="24"/>
          <w:szCs w:val="24"/>
          <w:highlight w:val="none"/>
        </w:rPr>
        <w:t>扣除当</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度服务费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自89分（含89分）起考核分数每降低1分，扣除当月服务费2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直至分数低于70分</w:t>
      </w:r>
      <w:r>
        <w:rPr>
          <w:rFonts w:hint="eastAsia" w:ascii="宋体" w:hAnsi="宋体" w:eastAsia="宋体" w:cs="宋体"/>
          <w:color w:val="auto"/>
          <w:sz w:val="24"/>
          <w:szCs w:val="24"/>
          <w:highlight w:val="none"/>
        </w:rPr>
        <w:t>采购人有权单方面立即解除合同。</w:t>
      </w:r>
      <w:r>
        <w:rPr>
          <w:rFonts w:hint="eastAsia" w:ascii="宋体" w:hAnsi="宋体" w:eastAsia="宋体" w:cs="宋体"/>
          <w:color w:val="auto"/>
          <w:sz w:val="24"/>
          <w:szCs w:val="24"/>
          <w:highlight w:val="none"/>
          <w:lang w:val="en-US" w:eastAsia="zh-CN"/>
        </w:rPr>
        <w:t>对于采购人项目出现的安全隐患，应发现而未发现的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给采购人带来不良后果的，</w:t>
      </w:r>
      <w:r>
        <w:rPr>
          <w:rFonts w:hint="eastAsia" w:ascii="宋体" w:hAnsi="宋体" w:eastAsia="宋体" w:cs="宋体"/>
          <w:color w:val="auto"/>
          <w:sz w:val="24"/>
          <w:szCs w:val="24"/>
          <w:highlight w:val="none"/>
        </w:rPr>
        <w:t>采购人有权单方面立即解除合同。</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采购人有权</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追偿，造成的</w:t>
      </w:r>
      <w:r>
        <w:rPr>
          <w:rFonts w:hint="eastAsia" w:ascii="宋体" w:hAnsi="宋体" w:eastAsia="宋体" w:cs="宋体"/>
          <w:color w:val="auto"/>
          <w:sz w:val="24"/>
          <w:szCs w:val="24"/>
          <w:highlight w:val="none"/>
          <w:lang w:val="en-US" w:eastAsia="zh-CN"/>
        </w:rPr>
        <w:t>经济</w:t>
      </w:r>
      <w:r>
        <w:rPr>
          <w:rFonts w:hint="eastAsia" w:ascii="宋体" w:hAnsi="宋体" w:eastAsia="宋体" w:cs="宋体"/>
          <w:color w:val="auto"/>
          <w:sz w:val="24"/>
          <w:szCs w:val="24"/>
          <w:highlight w:val="none"/>
        </w:rPr>
        <w:t>损</w:t>
      </w:r>
      <w:r>
        <w:rPr>
          <w:rFonts w:hint="eastAsia" w:ascii="宋体" w:hAnsi="宋体" w:eastAsia="宋体" w:cs="宋体"/>
          <w:color w:val="auto"/>
          <w:sz w:val="24"/>
          <w:szCs w:val="24"/>
          <w:highlight w:val="none"/>
          <w:lang w:val="en-US" w:eastAsia="zh-CN"/>
        </w:rPr>
        <w:t>失，并</w:t>
      </w:r>
      <w:r>
        <w:rPr>
          <w:rFonts w:hint="eastAsia" w:ascii="宋体" w:hAnsi="宋体" w:eastAsia="宋体" w:cs="宋体"/>
          <w:color w:val="auto"/>
          <w:sz w:val="24"/>
          <w:szCs w:val="24"/>
          <w:highlight w:val="none"/>
        </w:rPr>
        <w:t>扣除当季度全部</w:t>
      </w:r>
      <w:r>
        <w:rPr>
          <w:rFonts w:hint="eastAsia" w:ascii="宋体" w:hAnsi="宋体" w:eastAsia="宋体" w:cs="宋体"/>
          <w:color w:val="auto"/>
          <w:sz w:val="24"/>
          <w:szCs w:val="24"/>
          <w:highlight w:val="none"/>
          <w:lang w:val="en-US" w:eastAsia="zh-CN"/>
        </w:rPr>
        <w:t>服务费</w:t>
      </w:r>
      <w:r>
        <w:rPr>
          <w:rFonts w:hint="eastAsia" w:ascii="宋体" w:hAnsi="宋体" w:eastAsia="宋体" w:cs="宋体"/>
          <w:color w:val="auto"/>
          <w:sz w:val="24"/>
          <w:szCs w:val="24"/>
          <w:highlight w:val="none"/>
        </w:rPr>
        <w:t>。</w:t>
      </w:r>
    </w:p>
    <w:p w14:paraId="6075EA6E">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5、考核表：采购人有权根据具体工作需求及相关法律法规的要求调整考核表。</w:t>
      </w:r>
    </w:p>
    <w:tbl>
      <w:tblPr>
        <w:tblStyle w:val="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74"/>
        <w:gridCol w:w="4238"/>
        <w:gridCol w:w="915"/>
        <w:gridCol w:w="1218"/>
      </w:tblGrid>
      <w:tr w14:paraId="4356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3E883F">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470E71">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C44654">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考核评分标准</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AE759D">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标准分</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6D6AEE">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扣分数值</w:t>
            </w:r>
          </w:p>
        </w:tc>
      </w:tr>
      <w:tr w14:paraId="7184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1A7FD">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CF3094">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责任及服务内容完成情况</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309302">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按照工作进度计划，应将每项工作落实到位</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A18098">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72AF4">
            <w:pPr>
              <w:pStyle w:val="5"/>
              <w:jc w:val="center"/>
              <w:rPr>
                <w:rFonts w:hint="eastAsia" w:ascii="宋体" w:hAnsi="宋体" w:eastAsia="宋体" w:cs="宋体"/>
                <w:color w:val="auto"/>
                <w:sz w:val="24"/>
                <w:szCs w:val="24"/>
                <w:highlight w:val="none"/>
              </w:rPr>
            </w:pPr>
          </w:p>
        </w:tc>
      </w:tr>
      <w:tr w14:paraId="64B9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A6E552">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F7B19E">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提供文字性材料是否有原则性错误</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A5F34">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符合国家的规章制度及标准，文字表述准确、无误</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EA7D5A">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77E37">
            <w:pPr>
              <w:pStyle w:val="5"/>
              <w:jc w:val="center"/>
              <w:rPr>
                <w:rFonts w:hint="eastAsia" w:ascii="宋体" w:hAnsi="宋体" w:eastAsia="宋体" w:cs="宋体"/>
                <w:color w:val="auto"/>
                <w:sz w:val="24"/>
                <w:szCs w:val="24"/>
                <w:highlight w:val="none"/>
              </w:rPr>
            </w:pPr>
          </w:p>
        </w:tc>
      </w:tr>
      <w:tr w14:paraId="27AD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5C26E">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E429FB">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咨询回复响应时效评价</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09A24">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任何安全方面（含法律法规方面）的咨询指导工作要在甲方提供需求后3天内有效解决</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50C2C">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868378">
            <w:pPr>
              <w:pStyle w:val="5"/>
              <w:jc w:val="center"/>
              <w:rPr>
                <w:rFonts w:hint="eastAsia" w:ascii="宋体" w:hAnsi="宋体" w:eastAsia="宋体" w:cs="宋体"/>
                <w:color w:val="auto"/>
                <w:sz w:val="24"/>
                <w:szCs w:val="24"/>
                <w:highlight w:val="none"/>
              </w:rPr>
            </w:pPr>
          </w:p>
        </w:tc>
      </w:tr>
      <w:tr w14:paraId="5B8A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559EE">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D36B9C">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保密管理</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BCD4AF">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有健全的保密规章制度，有专人负责保密工作</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40BB3F">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AB8CD">
            <w:pPr>
              <w:pStyle w:val="5"/>
              <w:jc w:val="center"/>
              <w:rPr>
                <w:rFonts w:hint="eastAsia" w:ascii="宋体" w:hAnsi="宋体" w:eastAsia="宋体" w:cs="宋体"/>
                <w:color w:val="auto"/>
                <w:sz w:val="24"/>
                <w:szCs w:val="24"/>
                <w:highlight w:val="none"/>
              </w:rPr>
            </w:pPr>
          </w:p>
        </w:tc>
      </w:tr>
      <w:tr w14:paraId="40CB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548A92">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A76E3B">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协助处理接受上级部门督查及发生紧急安全事件</w:t>
            </w:r>
          </w:p>
        </w:tc>
        <w:tc>
          <w:tcPr>
            <w:tcW w:w="42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7BB4DA">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如上级部门督查甲方，至少2名项目人员在接到甲方通知后1小时内到达现场进行协助。</w:t>
            </w:r>
          </w:p>
          <w:p w14:paraId="5BDA473C">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发生紧急安全事件，至少2名项目人员1小时内到达现场进行指导。</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848A1A">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2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0322A2">
            <w:pPr>
              <w:pStyle w:val="5"/>
              <w:jc w:val="center"/>
              <w:rPr>
                <w:rFonts w:hint="eastAsia" w:ascii="宋体" w:hAnsi="宋体" w:eastAsia="宋体" w:cs="宋体"/>
                <w:color w:val="auto"/>
                <w:sz w:val="24"/>
                <w:szCs w:val="24"/>
                <w:highlight w:val="none"/>
              </w:rPr>
            </w:pPr>
          </w:p>
        </w:tc>
      </w:tr>
    </w:tbl>
    <w:p w14:paraId="781C6517">
      <w:pPr>
        <w:pStyle w:val="4"/>
        <w:numPr>
          <w:ilvl w:val="0"/>
          <w:numId w:val="0"/>
        </w:numPr>
        <w:spacing w:before="0" w:after="0" w:line="360" w:lineRule="auto"/>
        <w:ind w:firstLine="482" w:firstLineChars="200"/>
        <w:jc w:val="left"/>
        <w:rPr>
          <w:rFonts w:hint="eastAsia" w:ascii="宋体" w:hAnsi="宋体" w:eastAsia="宋体" w:cs="宋体"/>
          <w:color w:val="auto"/>
          <w:sz w:val="24"/>
          <w:szCs w:val="24"/>
          <w:highlight w:val="none"/>
          <w:shd w:val="clear" w:color="auto" w:fill="FFFFFF"/>
        </w:rPr>
      </w:pPr>
    </w:p>
    <w:bookmarkEnd w:id="0"/>
    <w:p w14:paraId="13C4E26A">
      <w:pPr>
        <w:shd w:val="clea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D351C"/>
    <w:multiLevelType w:val="multilevel"/>
    <w:tmpl w:val="538D351C"/>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708AB"/>
    <w:rsid w:val="6217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3"/>
    <w:basedOn w:val="1"/>
    <w:next w:val="1"/>
    <w:qFormat/>
    <w:uiPriority w:val="99"/>
    <w:pPr>
      <w:keepNext/>
      <w:keepLines/>
      <w:widowControl w:val="0"/>
      <w:adjustRightInd/>
      <w:snapToGrid/>
      <w:spacing w:before="260" w:after="260" w:line="416" w:lineRule="auto"/>
      <w:jc w:val="both"/>
      <w:outlineLvl w:val="2"/>
    </w:pPr>
    <w:rPr>
      <w:rFonts w:ascii="Times New Roman" w:hAnsi="Times New Roman" w:eastAsia="宋体"/>
      <w:b/>
      <w:bCs/>
      <w:kern w:val="2"/>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80"/>
      </w:tabs>
      <w:spacing w:after="0" w:line="360" w:lineRule="auto"/>
      <w:ind w:firstLine="420" w:firstLineChars="200"/>
    </w:pPr>
    <w:rPr>
      <w:sz w:val="20"/>
      <w:szCs w:val="20"/>
    </w:rPr>
  </w:style>
  <w:style w:type="paragraph" w:styleId="3">
    <w:name w:val="Body Text Indent"/>
    <w:basedOn w:val="1"/>
    <w:qFormat/>
    <w:uiPriority w:val="0"/>
    <w:pPr>
      <w:tabs>
        <w:tab w:val="left" w:pos="480"/>
      </w:tabs>
      <w:spacing w:line="560" w:lineRule="exact"/>
      <w:ind w:firstLine="480"/>
    </w:pPr>
    <w:rPr>
      <w:rFonts w:ascii="宋体" w:hAnsi="宋体"/>
      <w:sz w:val="24"/>
    </w:rPr>
  </w:style>
  <w:style w:type="paragraph" w:styleId="5">
    <w:name w:val="Body Text"/>
    <w:basedOn w:val="1"/>
    <w:next w:val="6"/>
    <w:qFormat/>
    <w:uiPriority w:val="99"/>
    <w:pPr>
      <w:widowControl w:val="0"/>
      <w:snapToGrid/>
      <w:spacing w:after="0" w:line="360" w:lineRule="atLeast"/>
      <w:jc w:val="both"/>
      <w:textAlignment w:val="baseline"/>
    </w:pPr>
    <w:rPr>
      <w:rFonts w:ascii="Times New Roman" w:hAnsi="Times New Roman" w:eastAsia="宋体"/>
      <w:kern w:val="2"/>
      <w:sz w:val="32"/>
      <w:szCs w:val="20"/>
    </w:rPr>
  </w:style>
  <w:style w:type="paragraph" w:styleId="6">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2026-03-27T09:32:00Z</dcterms:created>
  <dc:creator>宋可口ya！</dc:creator>
  <cp:lastModifiedBy>宋可口ya！</cp:lastModifiedBy>
  <dcterms:modified xsi:type="dcterms:W3CDTF">2026-03-27T09:32:38Z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9E789E6426FE410CB4A8ED80FA32D6FE_11</vt:lpwstr>
  </property>
  <property fmtid="{D5CDD505-2E9C-101B-9397-08002B2CF9AE}" pid="4" name="KSOTemplateDocerSaveRecord">
    <vt:lpwstr>eyJoZGlkIjoiYjdmMzk2OWMxMjhiYmMwNmMwOGVhZTU5MjQ3MzlmMmEiLCJ1c2VySWQiOiIyODg5MTc3NTMifQ==</vt:lpwstr>
  </property>
</Properties>
</file>