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6FD0E">
      <w:pPr>
        <w:keepNext w:val="0"/>
        <w:keepLines w:val="0"/>
        <w:pageBreakBefore w:val="0"/>
        <w:widowControl w:val="0"/>
        <w:numPr>
          <w:numId w:val="0"/>
        </w:numPr>
        <w:kinsoku/>
        <w:wordWrap/>
        <w:overflowPunct/>
        <w:topLinePunct w:val="0"/>
        <w:autoSpaceDE w:val="0"/>
        <w:autoSpaceDN w:val="0"/>
        <w:bidi w:val="0"/>
        <w:adjustRightInd w:val="0"/>
        <w:snapToGrid w:val="0"/>
        <w:spacing w:line="360" w:lineRule="auto"/>
        <w:ind w:left="420" w:leftChars="0"/>
        <w:jc w:val="both"/>
        <w:textAlignment w:val="auto"/>
        <w:outlineLvl w:val="1"/>
        <w:rPr>
          <w:rFonts w:hint="eastAsia" w:ascii="宋体" w:hAnsi="宋体" w:cs="宋体"/>
          <w:b/>
          <w:bCs/>
          <w:color w:val="auto"/>
          <w:kern w:val="0"/>
          <w:sz w:val="24"/>
          <w:szCs w:val="24"/>
          <w:highlight w:val="none"/>
        </w:rPr>
      </w:pPr>
      <w:bookmarkStart w:id="0" w:name="_Toc13622"/>
      <w:bookmarkStart w:id="1" w:name="_Toc25133"/>
      <w:r>
        <w:rPr>
          <w:rFonts w:hint="eastAsia" w:ascii="宋体" w:hAnsi="宋体" w:cs="宋体"/>
          <w:b/>
          <w:bCs/>
          <w:color w:val="auto"/>
          <w:kern w:val="0"/>
          <w:sz w:val="24"/>
          <w:szCs w:val="24"/>
          <w:highlight w:val="none"/>
          <w:lang w:eastAsia="zh-CN"/>
        </w:rPr>
        <w:t>医学检验</w:t>
      </w:r>
      <w:bookmarkStart w:id="2" w:name="_GoBack"/>
      <w:bookmarkEnd w:id="2"/>
      <w:r>
        <w:rPr>
          <w:rFonts w:hint="eastAsia" w:ascii="宋体" w:hAnsi="宋体" w:cs="宋体"/>
          <w:b/>
          <w:bCs/>
          <w:color w:val="auto"/>
          <w:kern w:val="0"/>
          <w:sz w:val="24"/>
          <w:szCs w:val="24"/>
          <w:highlight w:val="none"/>
        </w:rPr>
        <w:t>项目需求书</w:t>
      </w:r>
      <w:bookmarkEnd w:id="0"/>
      <w:bookmarkEnd w:id="1"/>
    </w:p>
    <w:p w14:paraId="7EBC94BD">
      <w:pPr>
        <w:keepNext w:val="0"/>
        <w:keepLines w:val="0"/>
        <w:pageBreakBefore w:val="0"/>
        <w:widowControl w:val="0"/>
        <w:shd w:val="clea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1.商务要求</w:t>
      </w:r>
    </w:p>
    <w:p w14:paraId="0A67475E">
      <w:pPr>
        <w:pStyle w:val="2"/>
        <w:keepNext w:val="0"/>
        <w:keepLines w:val="0"/>
        <w:pageBreakBefore w:val="0"/>
        <w:widowControl w:val="0"/>
        <w:numPr>
          <w:ilvl w:val="0"/>
          <w:numId w:val="1"/>
        </w:numPr>
        <w:shd w:val="clear"/>
        <w:kinsoku/>
        <w:wordWrap/>
        <w:overflowPunct/>
        <w:topLinePunct w:val="0"/>
        <w:autoSpaceDE/>
        <w:autoSpaceDN/>
        <w:bidi w:val="0"/>
        <w:snapToGrid w:val="0"/>
        <w:spacing w:after="0"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资格要求：</w:t>
      </w:r>
    </w:p>
    <w:p w14:paraId="580DE817">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1、投标人须具备《中华人民共和国政府采购法》第二十二条第一款规定的条件，提供以下材料：</w:t>
      </w:r>
    </w:p>
    <w:p w14:paraId="0071F18D">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（1）营业执照副本或事业单位法人证书或民办非企业单位登记证书或社会团体法人登记证书或基金会法人登记证书；</w:t>
      </w:r>
    </w:p>
    <w:p w14:paraId="379DFC9F">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（2）提供2024年度或2025年度经第三方会计师事务所审计的企业财务报告或开标前6个月内银行出具的资信证明。</w:t>
      </w:r>
    </w:p>
    <w:p w14:paraId="096BBE3D">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（3）投标人须提供开标前近半年任一月份依法缴纳税收和社会保障资金的记录；</w:t>
      </w:r>
    </w:p>
    <w:p w14:paraId="78B335A9">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（4）投标人须提供投标截止日前3年在经营活动中没有重大违法记录的书面声明（截至开标日成立不足3年的投标人可提供自成立以来无重大违法记录的书面声明）；</w:t>
      </w:r>
    </w:p>
    <w:p w14:paraId="2FCD5635">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2、投标人须提供卫生部门颁发医疗机构执业许可证</w:t>
      </w:r>
      <w:r>
        <w:rPr>
          <w:rFonts w:hint="eastAsia" w:ascii="宋体" w:hAnsi="宋体" w:eastAsia="宋体" w:cs="宋体"/>
          <w:color w:val="000000"/>
          <w:sz w:val="24"/>
          <w:szCs w:val="24"/>
          <w:lang w:val="en-US" w:eastAsia="zh-CN"/>
        </w:rPr>
        <w:t>（诊疗科目包含医学检验科）</w:t>
      </w:r>
      <w:r>
        <w:rPr>
          <w:rFonts w:hint="eastAsia" w:ascii="宋体" w:hAnsi="宋体" w:eastAsia="宋体" w:cs="宋体"/>
          <w:sz w:val="24"/>
          <w:szCs w:val="24"/>
          <w:highlight w:val="none"/>
          <w:lang w:val="en-US" w:eastAsia="zh-CN"/>
        </w:rPr>
        <w:t>；</w:t>
      </w:r>
    </w:p>
    <w:p w14:paraId="2F4EF888">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3、本项目不接受联合体投标。</w:t>
      </w:r>
    </w:p>
    <w:p w14:paraId="37EFF073">
      <w:pPr>
        <w:keepNext w:val="0"/>
        <w:keepLines w:val="0"/>
        <w:pageBreakBefore w:val="0"/>
        <w:widowControl w:val="0"/>
        <w:numPr>
          <w:ilvl w:val="-1"/>
          <w:numId w:val="0"/>
        </w:numP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4、本项目不专门面向中小企业</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对小微企业报价给予20%的扣除。</w:t>
      </w:r>
    </w:p>
    <w:p w14:paraId="121F7CFD">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以上证件、证书等证明材料须提供有效证书复印件并加盖单位公章。</w:t>
      </w:r>
    </w:p>
    <w:p w14:paraId="03AF9AEB">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（2）投标人须承诺所提供的服务、人员及设备符合相关国家强制性规定。</w:t>
      </w:r>
    </w:p>
    <w:p w14:paraId="148AFD26">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i w:val="0"/>
          <w:iCs w:val="0"/>
          <w:caps w:val="0"/>
          <w:color w:val="auto"/>
          <w:spacing w:val="0"/>
          <w:sz w:val="24"/>
          <w:szCs w:val="24"/>
          <w:highlight w:val="none"/>
          <w:shd w:val="clear" w:fill="auto"/>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auto"/>
        </w:rPr>
        <w:t>投标人需每日安排专人至双院区上门收取标本并配送报告，同时承担医联体单位的标本收取与运送工作。当甲方提出需求时，投标人还需提供双院区之间的标本转运服务以及负责将高致病性病原微生物菌（毒）种或样本运送至疾控中心</w:t>
      </w:r>
      <w:r>
        <w:rPr>
          <w:rFonts w:hint="eastAsia" w:ascii="宋体" w:hAnsi="宋体" w:eastAsia="宋体" w:cs="宋体"/>
          <w:i w:val="0"/>
          <w:iCs w:val="0"/>
          <w:caps w:val="0"/>
          <w:color w:val="auto"/>
          <w:spacing w:val="0"/>
          <w:sz w:val="24"/>
          <w:szCs w:val="24"/>
          <w:highlight w:val="none"/>
          <w:shd w:val="clear" w:fill="auto"/>
          <w:lang w:eastAsia="zh-CN"/>
        </w:rPr>
        <w:t>。</w:t>
      </w:r>
    </w:p>
    <w:p w14:paraId="7AEB0CF7">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auto"/>
          <w:lang w:val="en-US" w:eastAsia="zh-CN"/>
        </w:rPr>
        <w:t>2、标本到实验室五天内（特殊项目除外）出检测报告并送至甲方，特殊项目根</w:t>
      </w:r>
      <w:r>
        <w:rPr>
          <w:rFonts w:hint="eastAsia" w:ascii="宋体" w:hAnsi="宋体" w:eastAsia="宋体" w:cs="宋体"/>
          <w:sz w:val="24"/>
          <w:szCs w:val="24"/>
          <w:highlight w:val="none"/>
          <w:lang w:val="en-US" w:eastAsia="zh-CN"/>
        </w:rPr>
        <w:t>据具体项目制定时间方案。</w:t>
      </w:r>
    </w:p>
    <w:p w14:paraId="2AD13618">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3、签订合同后按实际发生核算，每季度结算一次。</w:t>
      </w:r>
    </w:p>
    <w:p w14:paraId="0E49135E">
      <w:pPr>
        <w:keepNext w:val="0"/>
        <w:keepLines w:val="0"/>
        <w:pageBreakBefore w:val="0"/>
        <w:widowControl w:val="0"/>
        <w:shd w:val="clear"/>
        <w:kinsoku/>
        <w:wordWrap/>
        <w:overflowPunct/>
        <w:topLinePunct w:val="0"/>
        <w:autoSpaceDE/>
        <w:autoSpaceDN/>
        <w:bidi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2.技术要求</w:t>
      </w:r>
    </w:p>
    <w:p w14:paraId="6517786F">
      <w:pPr>
        <w:pStyle w:val="2"/>
        <w:keepNext w:val="0"/>
        <w:keepLines w:val="0"/>
        <w:pageBreakBefore w:val="0"/>
        <w:widowControl w:val="0"/>
        <w:numPr>
          <w:ilvl w:val="-1"/>
          <w:numId w:val="0"/>
        </w:numPr>
        <w:shd w:val="clear"/>
        <w:kinsoku/>
        <w:wordWrap/>
        <w:overflowPunct/>
        <w:topLinePunct w:val="0"/>
        <w:autoSpaceDE/>
        <w:autoSpaceDN/>
        <w:bidi w:val="0"/>
        <w:snapToGrid w:val="0"/>
        <w:spacing w:after="0"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项目需求书：</w:t>
      </w:r>
    </w:p>
    <w:p w14:paraId="1C24C84A">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i w:val="0"/>
          <w:iCs w:val="0"/>
          <w:caps w:val="0"/>
          <w:color w:val="auto"/>
          <w:spacing w:val="0"/>
          <w:sz w:val="24"/>
          <w:szCs w:val="24"/>
          <w:highlight w:val="none"/>
          <w:shd w:val="clear" w:fill="auto"/>
          <w:lang w:val="en-US" w:eastAsia="zh-CN"/>
        </w:rPr>
      </w:pPr>
      <w:r>
        <w:rPr>
          <w:rFonts w:hint="eastAsia" w:ascii="宋体" w:hAnsi="宋体" w:eastAsia="宋体" w:cs="宋体"/>
          <w:sz w:val="24"/>
          <w:szCs w:val="24"/>
          <w:highlight w:val="none"/>
          <w:lang w:val="en-US" w:eastAsia="zh-CN"/>
        </w:rPr>
        <w:t>①</w:t>
      </w:r>
      <w:r>
        <w:rPr>
          <w:rFonts w:hint="eastAsia" w:ascii="宋体" w:hAnsi="宋体" w:eastAsia="宋体" w:cs="宋体"/>
          <w:i w:val="0"/>
          <w:iCs w:val="0"/>
          <w:caps w:val="0"/>
          <w:color w:val="auto"/>
          <w:spacing w:val="0"/>
          <w:sz w:val="24"/>
          <w:szCs w:val="24"/>
          <w:highlight w:val="none"/>
          <w:shd w:val="clear" w:fill="auto"/>
          <w:lang w:val="en-US" w:eastAsia="zh-CN"/>
        </w:rPr>
        <w:t>提供信息系统安全等级保护备案相关证明。</w:t>
      </w:r>
    </w:p>
    <w:p w14:paraId="4D4B6D55">
      <w:pPr>
        <w:keepNext w:val="0"/>
        <w:keepLines w:val="0"/>
        <w:pageBreakBefore w:val="0"/>
        <w:widowControl w:val="0"/>
        <w:numPr>
          <w:ilvl w:val="-1"/>
          <w:numId w:val="0"/>
        </w:numPr>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i w:val="0"/>
          <w:iCs w:val="0"/>
          <w:caps w:val="0"/>
          <w:color w:val="auto"/>
          <w:spacing w:val="0"/>
          <w:sz w:val="24"/>
          <w:szCs w:val="24"/>
          <w:highlight w:val="none"/>
          <w:shd w:val="clear" w:fill="auto"/>
          <w:lang w:val="en-US" w:eastAsia="zh-CN"/>
        </w:rPr>
      </w:pPr>
      <w:r>
        <w:rPr>
          <w:rFonts w:hint="eastAsia" w:ascii="宋体" w:hAnsi="宋体" w:eastAsia="宋体" w:cs="宋体"/>
          <w:i w:val="0"/>
          <w:iCs w:val="0"/>
          <w:caps w:val="0"/>
          <w:color w:val="auto"/>
          <w:spacing w:val="0"/>
          <w:sz w:val="24"/>
          <w:szCs w:val="24"/>
          <w:highlight w:val="none"/>
          <w:shd w:val="clear" w:fill="auto"/>
          <w:lang w:val="en-US" w:eastAsia="zh-CN"/>
        </w:rPr>
        <w:t>②根据《北京市卫生健康委员会、天津市卫生健康委员会、河北省卫生健康委员、会山东省卫生健康委员会关于公布第七批京津冀鲁区域医疗机构临床检验结果互认结果的通知》的规定，投标人在上述通知中被列入京津冀鲁区域临床检验结果互认医疗机构名单。</w:t>
      </w:r>
    </w:p>
    <w:p w14:paraId="78977DA1">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③项目需求单</w:t>
      </w:r>
    </w:p>
    <w:tbl>
      <w:tblPr>
        <w:tblStyle w:val="4"/>
        <w:tblpPr w:leftFromText="180" w:rightFromText="180" w:vertAnchor="text" w:horzAnchor="page" w:tblpXSpec="center" w:tblpY="539"/>
        <w:tblOverlap w:val="never"/>
        <w:tblW w:w="98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3750"/>
        <w:gridCol w:w="1467"/>
        <w:gridCol w:w="1250"/>
        <w:gridCol w:w="1183"/>
        <w:gridCol w:w="1450"/>
      </w:tblGrid>
      <w:tr w14:paraId="60DD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9872" w:type="dxa"/>
            <w:gridSpan w:val="6"/>
            <w:tcBorders>
              <w:top w:val="nil"/>
              <w:left w:val="nil"/>
              <w:bottom w:val="nil"/>
              <w:right w:val="nil"/>
            </w:tcBorders>
            <w:shd w:val="clear" w:color="auto" w:fill="auto"/>
            <w:vAlign w:val="center"/>
          </w:tcPr>
          <w:p w14:paraId="1109FC0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sz w:val="24"/>
                <w:szCs w:val="24"/>
                <w:highlight w:val="none"/>
                <w:lang w:val="en-US" w:eastAsia="zh-CN"/>
              </w:rPr>
              <w:t>医学检测项目需求表</w:t>
            </w:r>
          </w:p>
        </w:tc>
      </w:tr>
      <w:tr w14:paraId="1BFD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872" w:type="dxa"/>
            <w:gridSpan w:val="6"/>
            <w:tcBorders>
              <w:top w:val="nil"/>
              <w:left w:val="nil"/>
              <w:bottom w:val="single" w:color="000000" w:sz="4" w:space="0"/>
              <w:right w:val="nil"/>
            </w:tcBorders>
            <w:shd w:val="clear" w:color="auto" w:fill="auto"/>
            <w:vAlign w:val="center"/>
          </w:tcPr>
          <w:p w14:paraId="1CEB38A2">
            <w:pPr>
              <w:keepNext w:val="0"/>
              <w:keepLines w:val="0"/>
              <w:pageBreakBefore w:val="0"/>
              <w:widowControl w:val="0"/>
              <w:suppressLineNumbers w:val="0"/>
              <w:shd w:val="clear"/>
              <w:kinsoku/>
              <w:wordWrap/>
              <w:overflowPunct/>
              <w:topLinePunct w:val="0"/>
              <w:autoSpaceDE/>
              <w:autoSpaceDN/>
              <w:bidi w:val="0"/>
              <w:snapToGrid w:val="0"/>
              <w:spacing w:line="360" w:lineRule="auto"/>
              <w:jc w:val="righ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报价单位：元</w:t>
            </w:r>
          </w:p>
        </w:tc>
      </w:tr>
      <w:tr w14:paraId="6BE9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6C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A7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检测项目</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B0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预估年送检量（例）</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EA0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收费价格（元）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2A22">
            <w:pPr>
              <w:keepNext w:val="0"/>
              <w:keepLines w:val="0"/>
              <w:pageBreakBefore w:val="0"/>
              <w:widowControl w:val="0"/>
              <w:suppressLineNumbers w:val="0"/>
              <w:shd w:val="clear"/>
              <w:kinsoku/>
              <w:wordWrap/>
              <w:overflowPunct/>
              <w:topLinePunct w:val="0"/>
              <w:autoSpaceDE/>
              <w:autoSpaceDN/>
              <w:bidi w:val="0"/>
              <w:snapToGrid w:val="0"/>
              <w:spacing w:line="360" w:lineRule="auto"/>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招标限价（元）</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EC7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年送检金额（元）</w:t>
            </w:r>
          </w:p>
        </w:tc>
      </w:tr>
      <w:tr w14:paraId="7E12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64E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F8C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乙肝DNA定量检测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6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AB7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3B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38.64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2C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15456</w:t>
            </w:r>
          </w:p>
        </w:tc>
      </w:tr>
      <w:tr w14:paraId="1D37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04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1CB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抗环瓜氨酸肽抗体（CCP）</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90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A3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DE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A3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33660</w:t>
            </w:r>
          </w:p>
        </w:tc>
      </w:tr>
      <w:tr w14:paraId="7A2B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8F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4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胰岛素样生长因子-1</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733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D1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DF4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37.03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17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7406</w:t>
            </w:r>
          </w:p>
        </w:tc>
      </w:tr>
      <w:tr w14:paraId="4402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49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E9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抗促甲状腺激素受体抗体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E3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E8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21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BC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25760</w:t>
            </w:r>
          </w:p>
        </w:tc>
      </w:tr>
      <w:tr w14:paraId="350A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E2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C1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β-胶原特殊序列（CROSSL）</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3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33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7C1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07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5313</w:t>
            </w:r>
          </w:p>
        </w:tc>
      </w:tr>
      <w:tr w14:paraId="51AF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5BE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66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总1型前胶原氨基端延长肽P1NP</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8A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0DF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0DD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3D8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7245</w:t>
            </w:r>
          </w:p>
        </w:tc>
      </w:tr>
      <w:tr w14:paraId="3D86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93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4D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骨钙素N端中分子片段</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46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34F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995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28.98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866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4347</w:t>
            </w:r>
          </w:p>
        </w:tc>
      </w:tr>
      <w:tr w14:paraId="10BE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FAF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EF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抗幽门螺旋杆菌抗体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087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0E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DF2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D51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3AA0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69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BC3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幽门螺杆菌抗体分型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21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167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F7C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8C2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63AF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5E0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FC8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人附睾蛋白（HE4）</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A57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AD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AE0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32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2244</w:t>
            </w:r>
          </w:p>
        </w:tc>
      </w:tr>
      <w:tr w14:paraId="3E51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CB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082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胃泌素-17</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4A9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95D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31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38.64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CF7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1932</w:t>
            </w:r>
          </w:p>
        </w:tc>
      </w:tr>
      <w:tr w14:paraId="5951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A3B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D4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抗β2糖蛋白抗体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DC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BC1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6B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9B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850</w:t>
            </w:r>
          </w:p>
        </w:tc>
      </w:tr>
      <w:tr w14:paraId="6CCE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A8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F93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T淋巴细胞亚群8项:CD3、CD4、CD8、CD4/CD8、以及其绝对值</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0E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BB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5F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BC7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6630</w:t>
            </w:r>
          </w:p>
        </w:tc>
      </w:tr>
      <w:tr w14:paraId="70BC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F1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3FF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淋巴细胞亚群12项:CD3 CD4 CD8 CD19 NK(CD3- CD56+ CD16+) CD45以及绝对值计数</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DBF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12D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5CE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2D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1717</w:t>
            </w:r>
          </w:p>
        </w:tc>
      </w:tr>
      <w:tr w14:paraId="55E9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CC9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78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EB病毒衣壳抗原IgG抗体  (EBV-CAIgG)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BA8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CC0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DC1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382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r>
      <w:tr w14:paraId="0028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6B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8BA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EB病毒衣壳抗原IgM抗体（EBV-CAIgM）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058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09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BA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7E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r>
      <w:tr w14:paraId="6F8C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92C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887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EB病毒早期抗原IgM抗体（EBV-EAIgM）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E8A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CD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380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7B3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r>
      <w:tr w14:paraId="5D1E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FB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7F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EB病毒核心抗原IgG抗体   (EBV-NAIgG)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2F3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4A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C3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5E4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r>
      <w:tr w14:paraId="1254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C31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B6B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儿茶酚胺谱7项（肾上腺素、去甲肾上腺素、多巴胺、甲氧基肾上腺素、甲氧基去甲肾上腺素、高香草酸、香草扁桃酸）</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84D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CF6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6F1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159.8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6D5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3196</w:t>
            </w:r>
          </w:p>
        </w:tc>
      </w:tr>
      <w:tr w14:paraId="4CFC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DAD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DE3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户尘螨过敏原特异性IgE检测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E92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49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1B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2DF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r>
      <w:tr w14:paraId="6947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F1A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6B9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猫皮屑过敏原特异性IgE检测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D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40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5EB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8B5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r>
      <w:tr w14:paraId="0342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CC98A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BDA6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狗皮屑过敏原特异性IgE检测</w:t>
            </w:r>
          </w:p>
        </w:tc>
        <w:tc>
          <w:tcPr>
            <w:tcW w:w="14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38BC95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AD13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A3DC3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c>
          <w:tcPr>
            <w:tcW w:w="1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8BD6B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r>
      <w:tr w14:paraId="198F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1C7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6DD7F3D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鸡蛋白过敏原特异性IgE检测</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25357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A57D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5643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570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r>
      <w:tr w14:paraId="767C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588E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35A2648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牛奶过敏原特异性IgE检测</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09151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3FC1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68E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CF32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r>
      <w:tr w14:paraId="5A1C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D2EC0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9A5306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花生过敏原特异性IgE检测</w:t>
            </w:r>
          </w:p>
        </w:tc>
        <w:tc>
          <w:tcPr>
            <w:tcW w:w="1467" w:type="dxa"/>
            <w:tcBorders>
              <w:top w:val="single" w:color="auto" w:sz="4" w:space="0"/>
              <w:left w:val="single" w:color="000000" w:sz="4" w:space="0"/>
              <w:bottom w:val="single" w:color="000000" w:sz="4" w:space="0"/>
              <w:right w:val="single" w:color="000000" w:sz="4" w:space="0"/>
            </w:tcBorders>
            <w:shd w:val="clear" w:color="auto" w:fill="auto"/>
            <w:vAlign w:val="center"/>
          </w:tcPr>
          <w:p w14:paraId="4CFE78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4930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1E82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c>
          <w:tcPr>
            <w:tcW w:w="14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9AE1A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r>
      <w:tr w14:paraId="5958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2BB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D2B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蟹过敏原特异性IgE检测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D9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D56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E4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C16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r>
      <w:tr w14:paraId="63F0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92B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4E1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虾过敏原特异性IgE检测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13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AE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F8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A20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1803.2</w:t>
            </w:r>
          </w:p>
        </w:tc>
      </w:tr>
      <w:tr w14:paraId="357F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A20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2E7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抗核抗体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5F2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93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B2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807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24480</w:t>
            </w:r>
          </w:p>
        </w:tc>
      </w:tr>
      <w:tr w14:paraId="04B8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0FF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0B7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抗平滑肌抗体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8A2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83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3E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1E1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6800</w:t>
            </w:r>
          </w:p>
        </w:tc>
      </w:tr>
      <w:tr w14:paraId="545C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5C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1E7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抗线粒体抗体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CEF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C4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B7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BE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5440</w:t>
            </w:r>
          </w:p>
        </w:tc>
      </w:tr>
      <w:tr w14:paraId="6FE6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9E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E2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循环免疫复合物</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3EB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CA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8C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98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5E39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01D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7B3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腺病毒IgM抗体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723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154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D1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64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r>
      <w:tr w14:paraId="16F3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BD9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2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人呼吸道合胞病毒IgM抗体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63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C2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FF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F1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r>
      <w:tr w14:paraId="725C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C3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C8F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肺炎支原体IgM抗体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F4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3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F65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D2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r>
      <w:tr w14:paraId="0962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3A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E7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肺炎衣原体IgM抗体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5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44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44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D19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1E32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AE1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DD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人副流感病毒IgM抗体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4A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BF8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51D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3D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0F33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03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24F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A型流感病毒IgM抗体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837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3F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933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BFD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3149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E3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13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B型流感病毒IgM抗体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6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382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33F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E48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161A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CA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23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柯萨奇B组病毒IgM抗体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60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762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0BC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D0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r>
      <w:tr w14:paraId="5DB7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C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D3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尿转铁蛋白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00B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89D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9D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49F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2550</w:t>
            </w:r>
          </w:p>
        </w:tc>
      </w:tr>
      <w:tr w14:paraId="6DA5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762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2E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尿免疫球蛋白G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9F7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AAB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E1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58D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2550</w:t>
            </w:r>
          </w:p>
        </w:tc>
      </w:tr>
      <w:tr w14:paraId="6E9F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DA7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1B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尿N-乙酰胺基葡萄糖苷酶（NAG）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347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0BF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347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12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850</w:t>
            </w:r>
          </w:p>
        </w:tc>
      </w:tr>
      <w:tr w14:paraId="5AA4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E3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93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尿β2微球蛋白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AE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124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F2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CC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5950</w:t>
            </w:r>
          </w:p>
        </w:tc>
      </w:tr>
      <w:tr w14:paraId="1944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928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9B3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尿微量白蛋白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33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17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80F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72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2550</w:t>
            </w:r>
          </w:p>
        </w:tc>
      </w:tr>
      <w:tr w14:paraId="6CC9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B63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262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尿肌酐</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F9E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4BD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52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531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3536</w:t>
            </w:r>
          </w:p>
        </w:tc>
      </w:tr>
      <w:tr w14:paraId="0A74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C6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7B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尿视黄醇结合蛋白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8B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30D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019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C8D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3400</w:t>
            </w:r>
          </w:p>
        </w:tc>
      </w:tr>
      <w:tr w14:paraId="3B41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32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C18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抗中性粒细胞胞浆蛋白酶抗体（PR3-Ab）</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5A5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F3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ABA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5EB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4760</w:t>
            </w:r>
          </w:p>
        </w:tc>
      </w:tr>
      <w:tr w14:paraId="717F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0C5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2A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抗中性粒细胞胞浆髓过氧化物酶抗体（MPO-Ab）</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D80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FD9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62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B1E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4760</w:t>
            </w:r>
          </w:p>
        </w:tc>
      </w:tr>
      <w:tr w14:paraId="2FA9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A8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550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轻链KAPPA定量(κ-LC)</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F03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38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A7B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0D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4626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14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02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轻链LAMBDA定量(λ-LC)</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B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8B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C6D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65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77B5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A1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ED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血清游离轻链定量</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153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BAF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6AF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89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2F55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2AF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91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自身免疫性肝病抗体7项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(抗线粒体抗体2型抗体IgG、抗肝/肾微粒体1型抗体、抗可溶性肝抗原/肝-胰抗原抗体、平滑肌抗体、抗核抗体、抗线粒体抗体、抗肝细胞浆抗原1型抗体)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7E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343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05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EFF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1101.6</w:t>
            </w:r>
          </w:p>
        </w:tc>
      </w:tr>
      <w:tr w14:paraId="4E3C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0ED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36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自身免疫性肝病抗体9项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(抗线粒体抗体2型抗体IgG、抗肝/肾微粒体1型抗体、抗可溶性肝抗原/肝-胰抗原抗体、平滑肌抗体、抗核抗体、抗线粒体抗体、抗肝细胞浆抗原1型抗体抗SP100抗体、抗gp210抗体）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E04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97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E1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134.64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8A4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673.2</w:t>
            </w:r>
          </w:p>
        </w:tc>
      </w:tr>
      <w:tr w14:paraId="18B0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45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E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IgG1</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559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98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C22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AB4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1F2D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BE0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E36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IgG2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F6C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73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603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5B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3420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AA3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05A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IgG3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39E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89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1F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6B4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52D9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73D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19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IgG4</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96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E0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26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20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1818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62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AD7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抗补体C1q抗体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F7D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3C0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B2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107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r>
      <w:tr w14:paraId="2A40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E9B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4F8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抗突变性瓜氨酸波形蛋白抗体（抗MCV抗体）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9C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05F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964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987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6336</w:t>
            </w:r>
          </w:p>
        </w:tc>
      </w:tr>
      <w:tr w14:paraId="6D26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D96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68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抗磷脂酶A2受体抗体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F2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6D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A4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88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81.6</w:t>
            </w:r>
          </w:p>
        </w:tc>
      </w:tr>
      <w:tr w14:paraId="167F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B95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4EE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中性粒细胞明胶酶相关脂质运载蛋白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E08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A5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DB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12A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r>
      <w:tr w14:paraId="03BA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1F4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142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嗜肺军团菌抗体检测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2C6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F11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0E0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3CC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634C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D00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9F4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结核分枝杆菌及‌利福平耐药核酸检测（Xpert）</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9E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C9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E6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38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68FF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03D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86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胰岛素样生长因子结合蛋白-3（IGFBP-3)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EE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F13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0DA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37.03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2B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5554.5</w:t>
            </w:r>
          </w:p>
        </w:tc>
      </w:tr>
      <w:tr w14:paraId="5CF8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293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45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EGFR 基因突变（arms-PCR）</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A69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D2D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071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3E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788.8</w:t>
            </w:r>
          </w:p>
        </w:tc>
      </w:tr>
      <w:tr w14:paraId="6815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A7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798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BRAF V600E 基因突变</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48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A5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84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197.2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D72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197.2</w:t>
            </w:r>
          </w:p>
        </w:tc>
      </w:tr>
      <w:tr w14:paraId="45D3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4D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75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EML4-ALK 基因融合（FISH）</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574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67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0CA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9E0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788.8</w:t>
            </w:r>
          </w:p>
        </w:tc>
      </w:tr>
      <w:tr w14:paraId="46A5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AFF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3D5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K-ras 基因突变（外显子 2/3）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4E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F0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535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F0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r>
      <w:tr w14:paraId="25DF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79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93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N-ras基因突变检测（2.3.4外显子）</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AE0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988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89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54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r>
      <w:tr w14:paraId="1F7B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FC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7EF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C-KIT基因突变</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DE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929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1F8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652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788.8</w:t>
            </w:r>
          </w:p>
        </w:tc>
      </w:tr>
      <w:tr w14:paraId="4C39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AC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FB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PIK3CA基因突变</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AD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07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361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4B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r>
      <w:tr w14:paraId="6CA6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E7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BCD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RET基因突变</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106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CD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1A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92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r>
      <w:tr w14:paraId="5EDF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06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478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ROS1基因重排检测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D85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118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29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CCD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591.6</w:t>
            </w:r>
          </w:p>
        </w:tc>
      </w:tr>
      <w:tr w14:paraId="6A2B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2B2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E2F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生殖支原体脱氧核糖核酸检测（MG RNA)检测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CA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76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1DE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899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5CA8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6DB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ED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解脲脲原体脱氧核糖核酸检测（UU RNA)检测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9D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CB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6D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A2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249F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F7B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D4C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淋球菌脱氧核糖核酸检测（NG RNA)检测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980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1B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A26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B2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4372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C36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BD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沙眼衣原体脱氧核糖核酸检测(CT RNA)检测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00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1E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000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F7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52CF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D4F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6A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遗传性耳聋基因检测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7E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AAB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96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310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1DD2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27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93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(血)新生儿代谢病串联质谱</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639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43E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7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C1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r>
      <w:tr w14:paraId="299A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84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58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尿有机酸检测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EE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FF1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97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AA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r>
      <w:tr w14:paraId="6DA0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DAA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89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外周血染色体核型分析（550带）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1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E4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237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7E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r>
      <w:tr w14:paraId="4790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F8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CF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水溶性维生素8项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08C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6D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07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053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71.4</w:t>
            </w:r>
          </w:p>
        </w:tc>
      </w:tr>
      <w:tr w14:paraId="70CA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4F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26D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维生素5项（ADE D2 D3)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D8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D9A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0F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7C1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78.2</w:t>
            </w:r>
          </w:p>
        </w:tc>
      </w:tr>
      <w:tr w14:paraId="0218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E32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F0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维生素6项（VA、25-羟基VD、25-羟基VD2、25-羟基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VD3、VE、VK）</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DF8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A79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7C6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CBC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83.3</w:t>
            </w:r>
          </w:p>
        </w:tc>
      </w:tr>
      <w:tr w14:paraId="7B43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BA8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49C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维生素9项（VA、25-羟基VD、25-羟基VD2、25-羟基VD3、VE、VB1、VB2、VB9、VB12)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1AF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069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1E9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1C6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129.2</w:t>
            </w:r>
          </w:p>
        </w:tc>
      </w:tr>
      <w:tr w14:paraId="59EC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DE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0D9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维生素10项（VA、25-羟基VD、25-羟基VD2、25-羟基VD3、VE、VB1、VB2、VB9、VB12、VK）</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4AA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6A7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0A4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375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134.3</w:t>
            </w:r>
          </w:p>
        </w:tc>
      </w:tr>
      <w:tr w14:paraId="0FF6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5F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35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维生素13项（VA、25-羟基VD、25-羟基VD2、25-羟基VD3、VE、VB1、VB2、VB3、VB5、VB6、VB7、VB9、VB12）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4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17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FFF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4F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149.6</w:t>
            </w:r>
          </w:p>
        </w:tc>
      </w:tr>
      <w:tr w14:paraId="223E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2D4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243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维生素14项（VA、25-羟基VD、25-羟基VD2、25-羟基VD3、VE、VB1、VB2、VB3、VB5、VB6、VB7、VB9、VB12、VK）</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F9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C92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80C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5F7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154.7</w:t>
            </w:r>
          </w:p>
        </w:tc>
      </w:tr>
      <w:tr w14:paraId="678F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046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63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白细胞介素-1β</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51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A0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AD1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F5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2DE5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612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72F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白细胞介素-2受体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FF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4D2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02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E8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7BF9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25C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7D6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白细胞介素-6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3D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A18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AD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742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629A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21F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EB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白细胞介素-8</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ED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54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678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F4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25B8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F4B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0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白细胞介素-10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E4E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D6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F4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5D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518A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3B3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121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肿瘤坏死因子</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0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0D8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88E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D9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901.6</w:t>
            </w:r>
          </w:p>
        </w:tc>
      </w:tr>
      <w:tr w14:paraId="1477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CFE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2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 项细胞因子检测[白介素 4（IL-4）、白介素 6（IL-6）、白介素 10（IL-10）、白介素 12p70（IL-12p70）、白介素 17（IL-17）、干扰素γ （IFN-γ）、肿瘤坏死因子（TNF-α）]</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DD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2D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0A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268.6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83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268.6</w:t>
            </w:r>
          </w:p>
        </w:tc>
      </w:tr>
      <w:tr w14:paraId="5CCB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EFF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3C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粉尘螨过敏原特异性IgE检测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E10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84D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2C7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40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26E5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28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E82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德国小蠊过敏原特异性IgE检测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DCF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02F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BD2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48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6A86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1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04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烟曲霉过敏原特异性IgE检测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E0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83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57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FC9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6523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1E7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58B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链格孢过敏原特异性IgE检测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861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8A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AFD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F77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5090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F89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A47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普通豚草过敏原特异性IgE检测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74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685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24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D83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2D76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CDC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7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艾蒿过敏原特异性IgE检测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983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495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61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90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42FF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8B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F66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藜（鹅毛草）过敏原特异性IgE检测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E5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A9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9C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FC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71A5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C21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FA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苍耳过敏原特异性IgE检测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54C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CF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978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262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1A67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12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3F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葎草过敏原特异性IgE检测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C7B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712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63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E31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20EB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236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58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芝麻过敏原特异性IgE检测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C9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258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48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49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5A7B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D8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EE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小麦过敏原特异性IgE检测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83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EF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0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45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3EC9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79A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A9E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大豆过敏原特异性IgE检测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897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E11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E55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FAB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2707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AE8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0E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普通白桦树过敏原特异性IgE检测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49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17D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9E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2B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62AA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DC2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C6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刺柏过敏原特异性IgE检测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2A4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E9F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19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B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24C5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F7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9C2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枫叶梧桐/伦敦悬铃木过敏原特异性IgE检测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31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99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5B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D1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3A24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DC8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DA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百幕达草过敏原特异性IgE检测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405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6E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962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77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6CE7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2E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DC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梯牧草过敏原特异性IgE检测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9A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EA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A87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0E0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1495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F77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967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屋尘/户尘螨/粉尘螨/德国小蠊</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EB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2C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A72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79D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30BB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C6E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544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猫皮屑/狗皮屑/牛皮屑/马皮屑</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43D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942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653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2B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0C29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67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7F0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产黄青霉/分主枝孢/烟曲霉/链格孢霉</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25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29C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7FC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687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320E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65D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FA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产黄青霉/分主枝孢/烟曲霉/白色念珠菌/链格孢/长蠕孢</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5E5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C1F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0E1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3B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6356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A40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03D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豚草/艾蒿/雏菊/蒲公英/一枝黄花</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063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3B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AC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82B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023B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A6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C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雏菊/蒲公英/鹿角车前草/藜草/一枝黄花</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8DC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602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6D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83B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2D44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E56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77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花生/榛子/巴西果/杏仁/椰子</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D09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5C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12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F2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5E8F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003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4D2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鸡蛋白/牛奶/小麦/鱼/花生/大豆</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BD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0D0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EAB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FD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63B5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64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5A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灰桤木/榛子树/榆树/柳树/三角叶杨</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FC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AB7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5A6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46D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4BB4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9EB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A9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特应性过敏原过筛Phadiatop</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E8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15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C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B3F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25DC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E3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DB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血儿茶酚胺6项（肾上腺素、去甲肾上腺素、多巴胺、甲氧基肾上腺素、甲氧基去甲肾上腺素、3-甲氧基酪胺）</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7EB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C2A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7F1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101.376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E4F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10137.6</w:t>
            </w:r>
          </w:p>
        </w:tc>
      </w:tr>
      <w:tr w14:paraId="7AC3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B9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A05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尿儿茶酚胺8项（24h尿肾上腺素、24h尿去甲肾上腺素、24h尿多巴胺、24h尿甲氧基肾上腺素、24h尿甲氧基去甲肾上腺素、24h尿3-甲氧基酪胺、尿香草扁桃酸、尿高香草酸）</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23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17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D8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101.376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1B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10137.6</w:t>
            </w:r>
          </w:p>
        </w:tc>
      </w:tr>
      <w:tr w14:paraId="7278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FC2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31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甲型肝炎病毒抗体IgM测定(Anti-HAV 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8D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BB9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03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FED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2415</w:t>
            </w:r>
          </w:p>
        </w:tc>
      </w:tr>
      <w:tr w14:paraId="3331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58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DA8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戊型肝炎病毒抗体IgM测定(Anti-HEV-IgM)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B6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98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24D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25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8050</w:t>
            </w:r>
          </w:p>
        </w:tc>
      </w:tr>
      <w:tr w14:paraId="06E2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048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0D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肥达反应</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6A6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3B7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8E1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16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537.2</w:t>
            </w:r>
          </w:p>
        </w:tc>
      </w:tr>
      <w:tr w14:paraId="35AD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81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0B8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外斐反应</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BEF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217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CEB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0F4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268.6</w:t>
            </w:r>
          </w:p>
        </w:tc>
      </w:tr>
      <w:tr w14:paraId="5724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D43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95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沙门菌、志贺菌培养及鉴定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52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AB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C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D85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r>
      <w:tr w14:paraId="4941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1D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9B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真菌 1-3-β-D-葡聚糖检测（G试验）</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AF8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D1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474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C3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17340</w:t>
            </w:r>
          </w:p>
        </w:tc>
      </w:tr>
      <w:tr w14:paraId="15D1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7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D5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曲霉半乳甘露聚糖检测（GM实验）</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08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A12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B7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67.62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175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20286</w:t>
            </w:r>
          </w:p>
        </w:tc>
      </w:tr>
      <w:tr w14:paraId="0464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A0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8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曲霉菌抗体IgG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597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B6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BB0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ED8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1496</w:t>
            </w:r>
          </w:p>
        </w:tc>
      </w:tr>
      <w:tr w14:paraId="7B39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772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4C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念珠菌抗原(Mn)</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0AE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A0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37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F2D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1425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B5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99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念珠菌抗体IgG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DE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64B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8D5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16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2BA4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F3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D5E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隐球菌荚膜抗原(定性)</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1C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FB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BA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619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2108</w:t>
            </w:r>
          </w:p>
        </w:tc>
      </w:tr>
      <w:tr w14:paraId="76EB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441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27A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24小时尿液九项（尿葡萄糖、尿-尿素、尿-尿酸、尿钾、尿钠、尿氯、尿钙、尿磷、尿镁）</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3A9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D3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82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23.828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AFD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1810.928</w:t>
            </w:r>
          </w:p>
        </w:tc>
      </w:tr>
      <w:tr w14:paraId="41BE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F4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5E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微量元素5项（铅、钙、铜、镁、锌）</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86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3C3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A02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17.71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947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8855</w:t>
            </w:r>
          </w:p>
        </w:tc>
      </w:tr>
      <w:tr w14:paraId="2F84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6F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C63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巨细胞病毒抗体IgM定性测定(CMV-IgM)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18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5B0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1DD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134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2415</w:t>
            </w:r>
          </w:p>
        </w:tc>
      </w:tr>
      <w:tr w14:paraId="3192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17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180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巨细胞病毒抗体IgG定性测定(CMV-IgG)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D8F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F5D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871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24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2415</w:t>
            </w:r>
          </w:p>
        </w:tc>
      </w:tr>
      <w:tr w14:paraId="5C35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1D5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71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单纯疱疹病毒1型抗体IgM定性测定(HSV-1-IgM)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E9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19F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26E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A71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2550</w:t>
            </w:r>
          </w:p>
        </w:tc>
      </w:tr>
      <w:tr w14:paraId="5660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85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B0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单纯疱疹病毒1型抗体IgG定性测定(HSV-1-IgG)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E3E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90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B7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97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2550</w:t>
            </w:r>
          </w:p>
        </w:tc>
      </w:tr>
      <w:tr w14:paraId="6CD3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8B3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C8D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单纯疱疹病毒2型抗体IgM定性测定(HSV-2-IgM)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F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A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08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F5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2550</w:t>
            </w:r>
          </w:p>
        </w:tc>
      </w:tr>
      <w:tr w14:paraId="1336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6D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F1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单纯疱疹病毒2型抗体IgG定性测定(HSV-2-IgG)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D7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335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ED8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DED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2550</w:t>
            </w:r>
          </w:p>
        </w:tc>
      </w:tr>
      <w:tr w14:paraId="373A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2F8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759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风疹病毒抗体IgM定性测定(RV-IgM)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6F4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C4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16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44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1020</w:t>
            </w:r>
          </w:p>
        </w:tc>
      </w:tr>
      <w:tr w14:paraId="2622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81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8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风疹病毒抗体IgG定性测定(RV-IgG)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E5C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755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380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74D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1020</w:t>
            </w:r>
          </w:p>
        </w:tc>
      </w:tr>
      <w:tr w14:paraId="1940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710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FFB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弓形虫抗体IgM定性测定(TOXO-IgM)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5D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62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F3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39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r>
      <w:tr w14:paraId="4B71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1F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A4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弓形虫抗体IgG定性测定(TOXO-IgG)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24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BD9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7A0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47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r>
      <w:tr w14:paraId="1C0A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9E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82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反T3测定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7A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0D9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73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AE7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43.52</w:t>
            </w:r>
          </w:p>
        </w:tc>
      </w:tr>
      <w:tr w14:paraId="62F1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F5B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7E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胃蛋白酶原Ⅰ测定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AB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0A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154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C4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34000</w:t>
            </w:r>
          </w:p>
        </w:tc>
      </w:tr>
      <w:tr w14:paraId="2612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5CF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C51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胃蛋白酶原Ⅱ测定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3AD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27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C10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8BD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34000</w:t>
            </w:r>
          </w:p>
        </w:tc>
      </w:tr>
      <w:tr w14:paraId="07D0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07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FD2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糖链抗原242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11F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2B8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4E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19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10200</w:t>
            </w:r>
          </w:p>
        </w:tc>
      </w:tr>
      <w:tr w14:paraId="6DD7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2C2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F7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糖链抗原72-4</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1B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4B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EC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AE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3400</w:t>
            </w:r>
          </w:p>
        </w:tc>
      </w:tr>
      <w:tr w14:paraId="2036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309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F9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抗人绒毛膜促性腺激素抗体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789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652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54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8E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326.4</w:t>
            </w:r>
          </w:p>
        </w:tc>
      </w:tr>
      <w:tr w14:paraId="7FE1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98B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D2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β人绒毛膜促性腺激素</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5F0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E6F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630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38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244.8</w:t>
            </w:r>
          </w:p>
        </w:tc>
      </w:tr>
      <w:tr w14:paraId="7FE4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ADA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C40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醛固酮</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4EE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5A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695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0D2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r>
      <w:tr w14:paraId="2F76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3B2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CB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肾素血管紧张素Ⅱ</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425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C31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15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2C0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30BC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B7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31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血浆肾素活性（PBA)测定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4D7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16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77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CA2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7203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BC3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85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铁(Fe)测定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6D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783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4C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05A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0B23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D2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5A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总铁结合力(TIBC)测定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FA2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90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C0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504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r>
      <w:tr w14:paraId="4D93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238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119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抗心磷脂抗体(ACA)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451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AC7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BF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B22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1530</w:t>
            </w:r>
          </w:p>
        </w:tc>
      </w:tr>
      <w:tr w14:paraId="7933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4C9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489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甲状腺球蛋白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508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98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89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DF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3864</w:t>
            </w:r>
          </w:p>
        </w:tc>
      </w:tr>
      <w:tr w14:paraId="2711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CE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7D6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游离前列腺特异性抗原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E4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69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546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7FA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4250</w:t>
            </w:r>
          </w:p>
        </w:tc>
      </w:tr>
      <w:tr w14:paraId="3345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2AF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0B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胰岛素自身抗体（IAA)检测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90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1DD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B0E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4C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r>
      <w:tr w14:paraId="1EDC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9C9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7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抗谷氨酸脱羧酶(GAD)抗体检测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90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1B0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44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60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28980</w:t>
            </w:r>
          </w:p>
        </w:tc>
      </w:tr>
      <w:tr w14:paraId="4D69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37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92F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抗胰岛细胞（ICA）抗体检测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916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9C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8A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22.54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568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33810</w:t>
            </w:r>
          </w:p>
        </w:tc>
      </w:tr>
      <w:tr w14:paraId="2572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554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CE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免疫球蛋白A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D2F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97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4BB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6C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206A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4A4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1F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免疫球蛋白G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FBF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0F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C6D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5F8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3511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3C7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54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免疫球蛋白M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4CA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AA9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51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EC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3082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0BD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37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抗双链DNA抗体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31D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FB5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C6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08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r>
      <w:tr w14:paraId="43BD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A5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81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支原体培养+药敏试验</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526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4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AD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D2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r>
      <w:tr w14:paraId="4542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1F5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9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（上）呼吸道核酸六联检（RNA：甲型流感病毒；乙型流感病毒；人呼吸道合胞病毒；人鼻病毒。DNA：腺病毒；肺炎支原体）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30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CCE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6C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08A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149.6</w:t>
            </w:r>
          </w:p>
        </w:tc>
      </w:tr>
      <w:tr w14:paraId="41E6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687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E0D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（下）呼吸道核酸六联检（DNA：肺炎克雷伯菌；流感嗜血杆菌；通绿假单胞菌；嗜肺军团菌；金黄色葡萄糖球菌；肺炎链球菌）</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5C2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352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728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85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122.4</w:t>
            </w:r>
          </w:p>
        </w:tc>
      </w:tr>
      <w:tr w14:paraId="795C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877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A4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Y染色体微缺失(6位点）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76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6C8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2A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34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r>
      <w:tr w14:paraId="2E2E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32B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24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抗结核分枝杆菌抗体测定（TB-Ab）</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4C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28B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606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AF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7728</w:t>
            </w:r>
          </w:p>
        </w:tc>
      </w:tr>
      <w:tr w14:paraId="6C4D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F4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FC1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自身免疫性肌炎抗体谱24项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3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74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930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85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3D53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69A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415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涎液化糖链抗原-6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456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F3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928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23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91.8</w:t>
            </w:r>
          </w:p>
        </w:tc>
      </w:tr>
      <w:tr w14:paraId="385B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1A6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004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天疱疮抗体四项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D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9D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2F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33C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78.88</w:t>
            </w:r>
          </w:p>
        </w:tc>
      </w:tr>
      <w:tr w14:paraId="55D5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F0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58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可溶性CD25</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DC5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C7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70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EB6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338C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04E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76D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NK细胞活性</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0B9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282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F19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14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w:t>
            </w:r>
          </w:p>
        </w:tc>
      </w:tr>
      <w:tr w14:paraId="1D3A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6F0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5F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NGS病原微生物检测DNA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35B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FC7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32E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14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1224</w:t>
            </w:r>
          </w:p>
        </w:tc>
      </w:tr>
      <w:tr w14:paraId="4D80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206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8A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胎儿染色体异常检测（100种）</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E4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9DA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F3B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E92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952</w:t>
            </w:r>
          </w:p>
        </w:tc>
      </w:tr>
      <w:tr w14:paraId="4E49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7FA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DC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唐氏二中期筛查</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52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9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A7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BA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91.8</w:t>
            </w:r>
          </w:p>
        </w:tc>
      </w:tr>
      <w:tr w14:paraId="31A0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5A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98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肺癌相关23基因NGS检测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40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76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1DA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426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r>
      <w:tr w14:paraId="138A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B2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4C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肺癌56基因检测（含MSI）</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EDE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23E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EB7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C6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2210</w:t>
            </w:r>
          </w:p>
        </w:tc>
      </w:tr>
      <w:tr w14:paraId="3B51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E19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9E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肿瘤全面用药评估580基因（含TMB、MSI）</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A98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12B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A0E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59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4760</w:t>
            </w:r>
          </w:p>
        </w:tc>
      </w:tr>
      <w:tr w14:paraId="23BF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19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BA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乳腺癌21基因检测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74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75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3A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C8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r>
      <w:tr w14:paraId="0B07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9D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331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遗传性乳腺癌BRCA1/2检测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14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B8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01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7E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1020</w:t>
            </w:r>
          </w:p>
        </w:tc>
      </w:tr>
      <w:tr w14:paraId="67CB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B3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92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远程病理会诊</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58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F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EE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2BD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r>
      <w:tr w14:paraId="6166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694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AD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膀胱癌筛查</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154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25B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24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66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91.8</w:t>
            </w:r>
          </w:p>
        </w:tc>
      </w:tr>
      <w:tr w14:paraId="562F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32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86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高敏乙肝DNA定量检测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13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C0B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48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68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142.8</w:t>
            </w:r>
          </w:p>
        </w:tc>
      </w:tr>
      <w:tr w14:paraId="4339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BFE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12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高敏丙肝RNA定量检测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193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03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F3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ADF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r>
      <w:tr w14:paraId="1D93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557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843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结直肠癌靶向用药22基因检测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32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96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FD5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59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2040</w:t>
            </w:r>
          </w:p>
        </w:tc>
      </w:tr>
      <w:tr w14:paraId="2DA4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0F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EA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NGS病原微生物检测RNA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46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BC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757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25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1224</w:t>
            </w:r>
          </w:p>
        </w:tc>
      </w:tr>
      <w:tr w14:paraId="5CFD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D47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9E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感染病原体多重靶向测序</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6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F9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54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394.4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45A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394.4</w:t>
            </w:r>
          </w:p>
        </w:tc>
      </w:tr>
      <w:tr w14:paraId="4556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38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CEA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布鲁病抗全套（布鲁菌IgG、IgM、布鲁菌病试管凝集试验、布鲁菌病虎红平板凝集试验）</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39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15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CC2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EA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2E3E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389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5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总IgE</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9B8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40B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2BF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0B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68FE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CEF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D2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转铁蛋白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CC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656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BAE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29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2459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A2B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736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液基薄层细胞学检测（TCT）</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9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D65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4C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F72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4D6A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D35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66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抗缪勒氏管激素</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54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2C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F78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E54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3173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D0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607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结核分枝杆菌脱氧核糖核酸测定（TB DNA）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12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3D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0C5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00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r>
      <w:tr w14:paraId="2359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684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F4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24小时尿皮质醇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45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908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62E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DBD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644</w:t>
            </w:r>
          </w:p>
        </w:tc>
      </w:tr>
      <w:tr w14:paraId="6B8B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AD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99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糖化血清蛋白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F93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429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B9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2A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7335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32C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2F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降钙素</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DAA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48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279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5A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966</w:t>
            </w:r>
          </w:p>
        </w:tc>
      </w:tr>
      <w:tr w14:paraId="2D13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40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6A4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尿蛋白电泳</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BF0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99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B57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440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r>
      <w:tr w14:paraId="48B3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73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0E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尿α1微球蛋白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E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665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867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3D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r>
      <w:tr w14:paraId="45A2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DEB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31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血儿茶酚胺（3项）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46D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33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4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8B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86.7</w:t>
            </w:r>
          </w:p>
        </w:tc>
      </w:tr>
      <w:tr w14:paraId="16A9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859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5D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尿儿茶酚胺（3项）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B89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44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4B9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312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86.7</w:t>
            </w:r>
          </w:p>
        </w:tc>
      </w:tr>
      <w:tr w14:paraId="6038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639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409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乙肝三系定量</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77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D18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B2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E00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79.9</w:t>
            </w:r>
          </w:p>
        </w:tc>
      </w:tr>
      <w:tr w14:paraId="1FFB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14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D36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骨源性碱性磷酸酶测定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D04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5A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FE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50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56C0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267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28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透析相关液体培养</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CDC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4F3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07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CF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6664</w:t>
            </w:r>
          </w:p>
        </w:tc>
      </w:tr>
      <w:tr w14:paraId="7793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45C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56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水质培养（滤膜法）</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4E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CC7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63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5C6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42BA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92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34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水质培养（普通法）</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38F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3F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4D3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AF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r>
      <w:tr w14:paraId="5205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463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D8A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内镜培养</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A3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06A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27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F30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6800</w:t>
            </w:r>
          </w:p>
        </w:tc>
      </w:tr>
      <w:tr w14:paraId="7B3D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0E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5FD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消毒液培养</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53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E3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1E8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08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r>
      <w:tr w14:paraId="279A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1D8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78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网织红细胞计数</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2DB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962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623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3F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0.68</w:t>
            </w:r>
          </w:p>
        </w:tc>
      </w:tr>
      <w:tr w14:paraId="60F1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1F8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F0C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丙型肝炎病毒核糖核酸扩增定量检测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289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5BB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AD2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57.96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2AA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3825.36</w:t>
            </w:r>
          </w:p>
        </w:tc>
      </w:tr>
      <w:tr w14:paraId="3E92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83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683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免疫固定电泳测定（5项）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55F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4E5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83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97E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66.3</w:t>
            </w:r>
          </w:p>
        </w:tc>
      </w:tr>
      <w:tr w14:paraId="18BB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56B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380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免疫固定电泳测定（7项）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8DD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B5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3EE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188.37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827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9418.5</w:t>
            </w:r>
          </w:p>
        </w:tc>
      </w:tr>
      <w:tr w14:paraId="3738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2BD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8B8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抗中性粒细胞胞浆抗体-细胞质型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6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50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3F3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DB9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4760</w:t>
            </w:r>
          </w:p>
        </w:tc>
      </w:tr>
      <w:tr w14:paraId="4D27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89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80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抗中性粒细胞胞浆抗体-核周型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AF7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967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0B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01D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4760</w:t>
            </w:r>
          </w:p>
        </w:tc>
      </w:tr>
      <w:tr w14:paraId="05E3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AE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EE5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抗肾小球基底膜抗体(GBM)</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2A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1A8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F2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936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r>
      <w:tr w14:paraId="4031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C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C5E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抗卵巢抗体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DC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B7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58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6F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w:t>
            </w:r>
          </w:p>
        </w:tc>
      </w:tr>
      <w:tr w14:paraId="74B8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6A7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892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抗子宫内膜抗体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E5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9A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67A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EA6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w:t>
            </w:r>
          </w:p>
        </w:tc>
      </w:tr>
      <w:tr w14:paraId="0757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525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8F9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抗精子抗体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8C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27D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1AE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26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w:t>
            </w:r>
          </w:p>
        </w:tc>
      </w:tr>
      <w:tr w14:paraId="6B8D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CE1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5B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抗滋养膜抗体(ATAb)</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392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6FB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FCE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96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2F1C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BFF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F0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鳞状细胞癌相关抗原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7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F9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CA5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76A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759B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283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5F5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25羟基维生素D</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B00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59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3E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30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32200</w:t>
            </w:r>
          </w:p>
        </w:tc>
      </w:tr>
      <w:tr w14:paraId="6A48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FA4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84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地高辛</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E1D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89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04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B2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1360</w:t>
            </w:r>
          </w:p>
        </w:tc>
      </w:tr>
      <w:tr w14:paraId="0952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A53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7FF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BF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516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4CA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2EF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r>
      <w:tr w14:paraId="5361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AB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8F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17a—羟孕酮（含药盒15元）</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85C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55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E5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341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252C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B1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B0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丙型肝炎抗体测定（酶免法）</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12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EE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D7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D98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379B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1FC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C57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促红细胞生成素检测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77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A0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BDF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A4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1339.52</w:t>
            </w:r>
          </w:p>
        </w:tc>
      </w:tr>
      <w:tr w14:paraId="3F6B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834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8BE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促肾上腺皮质激素（含药盒50元）</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28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DF6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C5A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00B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r>
      <w:tr w14:paraId="1F64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EB3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B3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8AC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C81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FC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EC4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2FAA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55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396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蛋白C测定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E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8AF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18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9EA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39.1</w:t>
            </w:r>
          </w:p>
        </w:tc>
      </w:tr>
      <w:tr w14:paraId="645D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E48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62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蛋白S测定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3F2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99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F68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C9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4349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40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8E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大麻定性（尿）</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D3F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B15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2ED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B3B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227C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2B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1B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环孢霉素</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D8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DD5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55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30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1530</w:t>
            </w:r>
          </w:p>
        </w:tc>
      </w:tr>
      <w:tr w14:paraId="0BE2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23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CD4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霍乱弧菌培养、鉴定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57B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C3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2E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26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33E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337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78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内毒素检测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B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D14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27E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21.76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A78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21.76</w:t>
            </w:r>
          </w:p>
        </w:tc>
      </w:tr>
      <w:tr w14:paraId="43A8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BB6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6D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角蛋白19片段</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47D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33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C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5E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5C46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114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C58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结核感染T细胞检测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3F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A9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4E0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7F4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37400</w:t>
            </w:r>
          </w:p>
        </w:tc>
      </w:tr>
      <w:tr w14:paraId="4997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499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B6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抗角蛋白抗体（AKA)测定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F1E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444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B07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9A1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994.5</w:t>
            </w:r>
          </w:p>
        </w:tc>
      </w:tr>
      <w:tr w14:paraId="528A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1E9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97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卡马西平</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6BC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16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F4E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4A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40F7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7B1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9F3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狼疮抗凝因子</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5D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BC5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28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896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10626</w:t>
            </w:r>
          </w:p>
        </w:tc>
      </w:tr>
      <w:tr w14:paraId="443D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5D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F15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吗啡定性（尿）</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E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F0F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34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D3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r>
      <w:tr w14:paraId="3AA5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F66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23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尿17—羟皮质类固醇测定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6B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ED1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27F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26.52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A75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26.52</w:t>
            </w:r>
          </w:p>
        </w:tc>
      </w:tr>
      <w:tr w14:paraId="6932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DE3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384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尿17—酮类固醇测定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719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169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CF8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68E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19.04</w:t>
            </w:r>
          </w:p>
        </w:tc>
      </w:tr>
      <w:tr w14:paraId="4C6B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6F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8D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尿蛋白定量</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597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46A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178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BAC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r>
      <w:tr w14:paraId="109A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50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CD8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葡萄糖-6-磷酸脱氢酶活性测定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FC2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EE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0E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F6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r>
      <w:tr w14:paraId="5EC0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38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B5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皮质醇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62C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3DF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23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BAF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r>
      <w:tr w14:paraId="1915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4BE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D0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前白蛋白（定量）</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0C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74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04F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94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r>
      <w:tr w14:paraId="73AF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EF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7B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总前列腺特异性抗原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B4D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602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89F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70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w:t>
            </w:r>
          </w:p>
        </w:tc>
      </w:tr>
      <w:tr w14:paraId="3AAC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6B1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07D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硫酸去氢表雄酮</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57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02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A6C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44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2FDB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9F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D9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人类白细胞抗原—B27</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291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21D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AB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84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12750</w:t>
            </w:r>
          </w:p>
        </w:tc>
      </w:tr>
      <w:tr w14:paraId="63BB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FB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0B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脂蛋白磷脂酶A2定量测定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2A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033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A69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09B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129.2</w:t>
            </w:r>
          </w:p>
        </w:tc>
      </w:tr>
      <w:tr w14:paraId="6FA9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FD4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FAC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铜兰蛋白</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01D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E1A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D13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D3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52B5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E79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6D1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脱落细胞学检查与诊断</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37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498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574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5E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50A7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D2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98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胎盘生长因子</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8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196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88B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960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108.8</w:t>
            </w:r>
          </w:p>
        </w:tc>
      </w:tr>
      <w:tr w14:paraId="107A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992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B8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胃泌素释放肽前体（ProGRP）测定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892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E1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74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FB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624A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63F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503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血清蛋白电泳(全自动仪器法)</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E3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4D8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2F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0D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r>
      <w:tr w14:paraId="76A30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9E1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57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细小病毒B19核酸检测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23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DFA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AC8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99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4523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20A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9C0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雄烯二酮测定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32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63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A0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121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r>
      <w:tr w14:paraId="4A70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0C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B6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丙戊酸</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56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188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8D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A6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6C25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B85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3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他克莫司(FK506)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E19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C9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88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D5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1196.8</w:t>
            </w:r>
          </w:p>
        </w:tc>
      </w:tr>
      <w:tr w14:paraId="4386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DAC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5D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血药浓度监测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A4D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C70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59A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9C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7369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42E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C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胰高血糖素</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077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BE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CE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24.82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23B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24.82</w:t>
            </w:r>
          </w:p>
        </w:tc>
      </w:tr>
      <w:tr w14:paraId="071A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2B5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9C8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叶酸测定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4A2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819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140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46F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28C4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6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28F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盐水可提取性核抗原(免疫印迹法）</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6EC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7DC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886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2F62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BA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18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乙型肝炎病毒外膜蛋白前S1抗原测定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3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A0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5C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F04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9.52</w:t>
            </w:r>
          </w:p>
        </w:tc>
      </w:tr>
      <w:tr w14:paraId="1B8F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0D5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29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肌钙蛋白Ⅰ（Tnl）测定-定量</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24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A4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D0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B1C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r>
      <w:tr w14:paraId="01FE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6E1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4D6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肌红蛋白测定-定量</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AA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E11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E07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E06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r>
      <w:tr w14:paraId="5198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A1F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B9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糖化血红蛋白（HbA1c）测定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BF0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37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10B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C49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75F1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15A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F51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B型钠尿肽定量测定 (BNP)</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879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6C6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6F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259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2EF6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06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E8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生长激素(GH)测定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882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EC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3A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4E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489.6</w:t>
            </w:r>
          </w:p>
        </w:tc>
      </w:tr>
      <w:tr w14:paraId="27EA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6C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452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乙型肝炎病毒表面抗原定性(HBsAg)测定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C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B9D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0B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27D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4504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10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1F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乙型肝炎病毒表面抗体定性(抗HBs)测定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8E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BA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8C3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C6B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08DF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44C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99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乙型肝炎病毒e抗原定性(HBeAg)测定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C95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5B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0C6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0BC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6EFE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48B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12B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乙型肝炎病毒e抗体定性(Anti-HBe)测定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C0D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DD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207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9C4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7D83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702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E6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乙型肝炎病毒核心抗体定性(Anti-HBc)测定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A0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57C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0D2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E89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1AAD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FC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2C4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丙型肝炎病毒基因分型检测（测序法）</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7DB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4A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42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197.2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928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197.2</w:t>
            </w:r>
          </w:p>
        </w:tc>
      </w:tr>
      <w:tr w14:paraId="1A82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DE1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FEF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丁型肝炎病毒抗原(HDVAg)测定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58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3D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670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38F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7DA0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A4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F81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丁型肝炎病毒抗体(Anti-HDV)测定(HDV-IgM、IgG)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F59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A14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86C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C0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0015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38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01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戊型肝炎病毒抗体IgG（Anti-HEV-IgG）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55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0D2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8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050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2C3F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C39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6D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庚型肝炎病毒抗体IgG测定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(Anti-HGV-IgG)</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51B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66D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A36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A5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07E4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B65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016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透明质酸(HA)测定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0C2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49D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9B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BD7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2C14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90F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A9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Ⅲ型前胶原肽(PⅢP)测定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BA5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E1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9E7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129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1B50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A7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158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Ⅳ型胶原(CV-Ⅳ)测定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94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885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1D5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DCA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5B3D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CC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BF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层粘连蛋白(LN)测定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F7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F34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F8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3B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5C0C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8D2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2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25羟基维生素D2+D3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16C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53D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BD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5BB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19320</w:t>
            </w:r>
          </w:p>
        </w:tc>
      </w:tr>
      <w:tr w14:paraId="1F5D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F0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85F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HPV25型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839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664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4D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A34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122.4</w:t>
            </w:r>
          </w:p>
        </w:tc>
      </w:tr>
      <w:tr w14:paraId="66B0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DC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60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肾穿电镜</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B0D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55A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253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BA8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142.8</w:t>
            </w:r>
          </w:p>
        </w:tc>
      </w:tr>
      <w:tr w14:paraId="0FFF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2E8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174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抗甲状腺球蛋白抗体(TGAb)检测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788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535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B84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573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60A8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BF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6AB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抗甲状腺过氧化物酶抗体(TPOAb)检测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16D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C2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7BE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D74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2FD2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909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4F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促甲状腺激素受体刺激性抗体（TSI）</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9EF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75F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F2E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19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633D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A4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993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甲状旁腺素</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EDD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86A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981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608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13600</w:t>
            </w:r>
          </w:p>
        </w:tc>
      </w:tr>
      <w:tr w14:paraId="0FC8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698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C9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抗甲状腺微粒体抗体</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EE5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7C2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7A8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56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r>
      <w:tr w14:paraId="6BFF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76E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37E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抗胰岛素抗体测定(INS-Ab)</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72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2F2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4E7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2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27200</w:t>
            </w:r>
          </w:p>
        </w:tc>
      </w:tr>
      <w:tr w14:paraId="7DA0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24F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9E6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新型冠状病毒核酸检测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D7F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F00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B61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9D9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265.2</w:t>
            </w:r>
          </w:p>
        </w:tc>
      </w:tr>
      <w:tr w14:paraId="2C99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826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7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百日咳核酸检测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3A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41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5D7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8CC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r>
      <w:tr w14:paraId="4A7B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4DB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F2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类固醇激素及代谢产物</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FE1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C9E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824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7AE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76.5</w:t>
            </w:r>
          </w:p>
        </w:tc>
      </w:tr>
      <w:tr w14:paraId="6312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46F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C5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游离睾酮</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B9D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701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1AB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41C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r>
      <w:tr w14:paraId="649D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A52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67D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蛋白酪氨酸磷酸酶抗体（IA-2A）定量检测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EF7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34E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AB6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34A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3D47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7F6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1A4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锌转运体8抗体（ZnT8）检测 </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00C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C7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573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C0B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r>
      <w:tr w14:paraId="5749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460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B8F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尿碘测定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E3E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B3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7DB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D1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r>
      <w:tr w14:paraId="0D41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B47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FCF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阿尔茨海默病血液标志物检测七项（单分子免疫）</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E72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47F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C30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D71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1020</w:t>
            </w:r>
          </w:p>
        </w:tc>
      </w:tr>
      <w:tr w14:paraId="0F90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D0B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267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真菌三项（曲霉菌、新型隐球菌、肺孢子菌）</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660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AA0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0051">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80C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122.4</w:t>
            </w:r>
          </w:p>
        </w:tc>
      </w:tr>
      <w:tr w14:paraId="0115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2E9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39E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阿司匹林，硫酸氢氯吡格雷用药指导的基因检测（待开展）</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E09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42B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78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D39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340</w:t>
            </w:r>
          </w:p>
        </w:tc>
      </w:tr>
      <w:tr w14:paraId="67A9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CE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CD3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维生素B12</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DE0E">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A30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5A1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07F3">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20.4</w:t>
            </w:r>
          </w:p>
        </w:tc>
      </w:tr>
      <w:tr w14:paraId="7633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A4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53D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碱性血红蛋白电泳</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D94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DF5A">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B55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9FF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51</w:t>
            </w:r>
          </w:p>
        </w:tc>
      </w:tr>
      <w:tr w14:paraId="61D0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AB9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66E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艰难梭菌检测</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0C4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68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2320">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166.6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F61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166.6</w:t>
            </w:r>
          </w:p>
        </w:tc>
      </w:tr>
      <w:tr w14:paraId="14FA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8BA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360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小儿密低密度脂蛋白测定</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002C">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F838">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16E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FFE9">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20.4</w:t>
            </w:r>
          </w:p>
        </w:tc>
      </w:tr>
      <w:tr w14:paraId="654E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32A732">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313</w:t>
            </w:r>
          </w:p>
        </w:tc>
        <w:tc>
          <w:tcPr>
            <w:tcW w:w="3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5B6F6B">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肺癌七种自身抗体检测</w:t>
            </w:r>
          </w:p>
        </w:tc>
        <w:tc>
          <w:tcPr>
            <w:tcW w:w="14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18E076">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2C940D">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450</w:t>
            </w:r>
          </w:p>
        </w:tc>
        <w:tc>
          <w:tcPr>
            <w:tcW w:w="11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E1B265">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153</w:t>
            </w:r>
          </w:p>
        </w:tc>
        <w:tc>
          <w:tcPr>
            <w:tcW w:w="1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A4B45F">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153</w:t>
            </w:r>
          </w:p>
        </w:tc>
      </w:tr>
      <w:tr w14:paraId="49E1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92B692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44777">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724268.98</w:t>
            </w:r>
          </w:p>
        </w:tc>
      </w:tr>
      <w:tr w14:paraId="2B79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DE1684">
            <w:pPr>
              <w:keepNext w:val="0"/>
              <w:keepLines w:val="0"/>
              <w:pageBreakBefore w:val="0"/>
              <w:widowControl w:val="0"/>
              <w:suppressLineNumbers w:val="0"/>
              <w:shd w:val="clear"/>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备注：2年送检金额</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997C5">
            <w:pPr>
              <w:keepNext w:val="0"/>
              <w:keepLines w:val="0"/>
              <w:pageBreakBefore w:val="0"/>
              <w:widowControl w:val="0"/>
              <w:suppressLineNumbers w:val="0"/>
              <w:shd w:val="clear"/>
              <w:kinsoku/>
              <w:wordWrap/>
              <w:overflowPunct/>
              <w:topLinePunct w:val="0"/>
              <w:autoSpaceDE/>
              <w:autoSpaceDN/>
              <w:bidi w:val="0"/>
              <w:snapToGrid w:val="0"/>
              <w:spacing w:line="360" w:lineRule="auto"/>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1448537.96</w:t>
            </w:r>
          </w:p>
        </w:tc>
      </w:tr>
    </w:tbl>
    <w:p w14:paraId="31333737">
      <w:pPr>
        <w:pStyle w:val="2"/>
        <w:keepNext w:val="0"/>
        <w:keepLines w:val="0"/>
        <w:pageBreakBefore w:val="0"/>
        <w:widowControl w:val="0"/>
        <w:numPr>
          <w:ilvl w:val="-1"/>
          <w:numId w:val="0"/>
        </w:numPr>
        <w:shd w:val="clear"/>
        <w:kinsoku/>
        <w:wordWrap/>
        <w:overflowPunct/>
        <w:topLinePunct w:val="0"/>
        <w:autoSpaceDE/>
        <w:autoSpaceDN/>
        <w:bidi w:val="0"/>
        <w:adjustRightInd/>
        <w:snapToGrid w:val="0"/>
        <w:spacing w:after="0" w:line="360" w:lineRule="auto"/>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注：上述明细中，规定了各项检测费用的单项价格，供应商分项报价应注意不得超出单项限价，总计报价不得超出总预算。并以上述格式填写分项报价明细。</w:t>
      </w:r>
    </w:p>
    <w:p w14:paraId="570332F9">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3.履约验收：</w:t>
      </w:r>
    </w:p>
    <w:p w14:paraId="5981A6EE">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（1）按月进行考核，考核表总分100分，考核内容按每一小项出现一次不合格扣1分，当月考核分数80分以下，采购人有权视情节扣除当月费用的2-10%；对与采购方需求不一致、产生费用由中标方承担。</w:t>
      </w:r>
    </w:p>
    <w:p w14:paraId="7136EAB3">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（2）履约验收时间：按月考核。               </w:t>
      </w:r>
    </w:p>
    <w:p w14:paraId="5E4E2DBA">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（3）履约验收方式：考核验收</w:t>
      </w:r>
    </w:p>
    <w:p w14:paraId="1A1695FC">
      <w:pPr>
        <w:keepNext w:val="0"/>
        <w:keepLines w:val="0"/>
        <w:pageBreakBefore w:val="0"/>
        <w:widowControl w:val="0"/>
        <w:numPr>
          <w:ilvl w:val="0"/>
          <w:numId w:val="2"/>
        </w:numPr>
        <w:kinsoku/>
        <w:wordWrap/>
        <w:overflowPunct/>
        <w:topLinePunct w:val="0"/>
        <w:autoSpaceDE/>
        <w:autoSpaceDN/>
        <w:bidi w:val="0"/>
        <w:snapToGrid w:val="0"/>
        <w:spacing w:line="360" w:lineRule="auto"/>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履约验收程序： 按月进行考核，考核表总分100分，考核内容按每一小项出现一次不合格扣1分，当月考核分数80分以下，采购人有权视情节扣除当月费用的2-10%；同时对与采购方需求不一致、产生费用由中标方承担。</w:t>
      </w:r>
    </w:p>
    <w:p w14:paraId="2DD7E1F8">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80" w:firstLineChars="200"/>
        <w:jc w:val="left"/>
        <w:rPr>
          <w:rFonts w:hint="eastAsia" w:ascii="宋体" w:hAnsi="宋体" w:eastAsia="宋体" w:cs="宋体"/>
          <w:spacing w:val="-5"/>
          <w:sz w:val="24"/>
          <w:szCs w:val="24"/>
        </w:rPr>
      </w:pPr>
      <w:r>
        <w:rPr>
          <w:rFonts w:hint="eastAsia" w:ascii="宋体" w:hAnsi="宋体" w:eastAsia="宋体" w:cs="宋体"/>
          <w:b w:val="0"/>
          <w:bCs w:val="0"/>
          <w:kern w:val="2"/>
          <w:sz w:val="24"/>
          <w:szCs w:val="24"/>
          <w:highlight w:val="none"/>
          <w:lang w:val="en-US" w:eastAsia="zh-CN" w:bidi="ar-SA"/>
        </w:rPr>
        <w:t>履约验收内容：详见考核表</w:t>
      </w:r>
    </w:p>
    <w:p w14:paraId="759E670A">
      <w:pPr>
        <w:keepNext w:val="0"/>
        <w:keepLines w:val="0"/>
        <w:pageBreakBefore w:val="0"/>
        <w:widowControl w:val="0"/>
        <w:numPr>
          <w:ilvl w:val="0"/>
          <w:numId w:val="0"/>
        </w:numPr>
        <w:kinsoku/>
        <w:wordWrap/>
        <w:overflowPunct/>
        <w:topLinePunct w:val="0"/>
        <w:autoSpaceDE/>
        <w:autoSpaceDN/>
        <w:bidi w:val="0"/>
        <w:snapToGrid w:val="0"/>
        <w:spacing w:line="360"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考核表</w:t>
      </w:r>
    </w:p>
    <w:tbl>
      <w:tblPr>
        <w:tblStyle w:val="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315"/>
        <w:gridCol w:w="4805"/>
        <w:gridCol w:w="647"/>
        <w:gridCol w:w="1093"/>
      </w:tblGrid>
      <w:tr w14:paraId="2F31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6BA6">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DBF8">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97D3">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考核内容</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45E6">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满分</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1BAA">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最终得分</w:t>
            </w:r>
          </w:p>
        </w:tc>
      </w:tr>
      <w:tr w14:paraId="1AF1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B96E">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2B43">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资质证书</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E9E8">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提供卫生部临检中心医学检验实验室室间质量评价。提供卫生部临检中心室间质量评价证书和天津市临检中心室间质量评价证书。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3346">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B866">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69F3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AA2A">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9983">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室内质控</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7486">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弱阳性质控品浓度水平符合要求，且每日有记录及月总结分析报告。</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B719">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F5E6">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4ECE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8216">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8F35">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物流方案</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B4AB">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提供7*24小时物流转运标本服务，定期及时转运核酸标本到实验室进行检测。</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539C">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15F9">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125C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478F">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848A">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性能验证</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9A9C">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提供仪器及试剂性能验证报告及校准报告。</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AF44">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5A60">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0CA0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D6CB">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7C08">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复检流程</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7678">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提供阳性标本复检流程及告知流程。</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0DF0">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4B8D">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3991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0CE">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1F32">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溯源性</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34FB">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每管标本全过程可溯源。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DF0C">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DB24">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6DD7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6C05">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5733">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环境监测</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EB6B">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实验室每周进行实验室环境监测并留有记录。</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5171">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01EC">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3770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5D17">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B0B9">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耗材保证方案</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A711">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需免费提供标本采集专用耗材，并及时配送到位。可向院方提供相关耗材的生产企业依法 取得医疗器械生产经营许可证、医疗器械注册证。</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0375">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0648">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659A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6BE3">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1FEA">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报告单回报方案</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C7E2">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按照检测目录承诺的回报时间并根据天津市卫健委专项要求调整），实验室数据信息自动导入，并提供网络查询。</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E5FE">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1231">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6551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58C9">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8486">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应急启动情况</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B805">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有效应对、快速处置因节假日人员流动、可能出现的情况完成应急处置。并不断提高应急和处理能力，降低院内感控风险，确保检验项目筛查处缴费、登记、采样、标本转运各项工作有序开展。</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D857">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ABDC">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1C2E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0420">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2597">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提升服务</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99F2">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要配合院方不断改进和提升普检检测现场服务，优化流程，充分运用信息化建设，提高受检人员体验。有效避免投诉纠纷的发生及后续处理。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B6C3">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1E25">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2EFA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0B9B">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FF17">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落实院感防控</w:t>
            </w:r>
          </w:p>
        </w:tc>
        <w:tc>
          <w:tcPr>
            <w:tcW w:w="2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6108">
            <w:pPr>
              <w:keepNext w:val="0"/>
              <w:keepLines w:val="0"/>
              <w:pageBreakBefore w:val="0"/>
              <w:widowControl w:val="0"/>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1.正确穿脱使用个人防护用品；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2.严格规范执行手卫生操作；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3.使用物品符合标准，无过期；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4.保持登记室等环境卫生，及时消杀、通风；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5.严格医疗垃圾管理，无散落、满溢、未密闭存放等现象；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0E06">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D7AF">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r w14:paraId="5C1D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C5F1">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30BD">
            <w:pPr>
              <w:keepNext w:val="0"/>
              <w:keepLines w:val="0"/>
              <w:pageBreakBefore w:val="0"/>
              <w:widowControl w:val="0"/>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F06B">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i w:val="0"/>
                <w:iCs w:val="0"/>
                <w:color w:val="000000"/>
                <w:sz w:val="24"/>
                <w:szCs w:val="24"/>
                <w:u w:val="none"/>
              </w:rPr>
            </w:pPr>
          </w:p>
        </w:tc>
      </w:tr>
    </w:tbl>
    <w:p w14:paraId="155274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B2B93"/>
    <w:multiLevelType w:val="singleLevel"/>
    <w:tmpl w:val="844B2B93"/>
    <w:lvl w:ilvl="0" w:tentative="0">
      <w:start w:val="1"/>
      <w:numFmt w:val="decimal"/>
      <w:suff w:val="nothing"/>
      <w:lvlText w:val="（%1）"/>
      <w:lvlJc w:val="left"/>
      <w:pPr>
        <w:ind w:left="0" w:firstLine="40"/>
      </w:pPr>
    </w:lvl>
  </w:abstractNum>
  <w:abstractNum w:abstractNumId="1">
    <w:nsid w:val="4567899F"/>
    <w:multiLevelType w:val="singleLevel"/>
    <w:tmpl w:val="4567899F"/>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64792"/>
    <w:rsid w:val="0726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2026-04-01T03:36:00Z</dcterms:created>
  <dc:creator>柳絮飞</dc:creator>
  <cp:lastModifiedBy>柳絮飞</cp:lastModifiedBy>
  <dcterms:modified xsi:type="dcterms:W3CDTF">2026-04-01T03:37:35Z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DC392FA52E0743B9BE7F6BA01B53023C_11</vt:lpwstr>
  </property>
  <property fmtid="{D5CDD505-2E9C-101B-9397-08002B2CF9AE}" pid="4" name="KSOTemplateDocerSaveRecord">
    <vt:lpwstr>eyJoZGlkIjoiOWE1NmUwMmVjNjU2YzcwMDFmMzY3NzA5Mjc3MGE3YTQiLCJ1c2VySWQiOiIzMTIwNTAyMzUifQ==</vt:lpwstr>
  </property>
</Properties>
</file>