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D9708">
      <w:pPr>
        <w:spacing w:line="360" w:lineRule="auto"/>
        <w:ind w:firstLine="480" w:firstLineChars="200"/>
        <w:jc w:val="center"/>
        <w:rPr>
          <w:rFonts w:hint="eastAsia" w:ascii="宋体" w:hAnsi="宋体"/>
          <w:b/>
          <w:color w:val="auto"/>
          <w:sz w:val="24"/>
          <w:highlight w:val="none"/>
        </w:rPr>
      </w:pPr>
      <w:r>
        <w:rPr>
          <w:rFonts w:hint="eastAsia"/>
          <w:color w:val="auto"/>
          <w:sz w:val="24"/>
          <w:highlight w:val="none"/>
        </w:rPr>
        <w:t>北塘院区污水处理站废气除臭系统</w:t>
      </w:r>
    </w:p>
    <w:p w14:paraId="1A73017E">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一、项目背景</w:t>
      </w:r>
    </w:p>
    <w:p w14:paraId="1459320E">
      <w:pPr>
        <w:spacing w:line="360" w:lineRule="auto"/>
        <w:ind w:firstLine="480" w:firstLineChars="200"/>
        <w:rPr>
          <w:color w:val="auto"/>
          <w:sz w:val="24"/>
          <w:highlight w:val="none"/>
        </w:rPr>
      </w:pPr>
      <w:r>
        <w:rPr>
          <w:rFonts w:hint="eastAsia"/>
          <w:color w:val="auto"/>
          <w:sz w:val="24"/>
          <w:highlight w:val="none"/>
        </w:rPr>
        <w:t>我院北塘院区污水处理站废气除臭系统因设备老旧除臭效果不好，现采购设备进行更新。</w:t>
      </w:r>
    </w:p>
    <w:p w14:paraId="245700E5">
      <w:pPr>
        <w:spacing w:line="360" w:lineRule="auto"/>
        <w:ind w:firstLine="482" w:firstLineChars="200"/>
        <w:rPr>
          <w:b/>
          <w:color w:val="auto"/>
          <w:sz w:val="24"/>
          <w:highlight w:val="none"/>
        </w:rPr>
      </w:pPr>
      <w:r>
        <w:rPr>
          <w:b/>
          <w:color w:val="auto"/>
          <w:sz w:val="24"/>
          <w:highlight w:val="none"/>
        </w:rPr>
        <w:t>二、项目预算</w:t>
      </w:r>
    </w:p>
    <w:p w14:paraId="45969519">
      <w:pPr>
        <w:spacing w:line="360" w:lineRule="auto"/>
        <w:ind w:firstLine="480" w:firstLineChars="200"/>
        <w:rPr>
          <w:color w:val="auto"/>
          <w:sz w:val="24"/>
          <w:highlight w:val="none"/>
        </w:rPr>
      </w:pPr>
      <w:r>
        <w:rPr>
          <w:rFonts w:hint="eastAsia"/>
          <w:color w:val="auto"/>
          <w:sz w:val="24"/>
          <w:highlight w:val="none"/>
        </w:rPr>
        <w:t>8万</w:t>
      </w:r>
      <w:r>
        <w:rPr>
          <w:color w:val="auto"/>
          <w:sz w:val="24"/>
          <w:highlight w:val="none"/>
        </w:rPr>
        <w:t>元</w:t>
      </w:r>
      <w:bookmarkStart w:id="0" w:name="_GoBack"/>
      <w:bookmarkEnd w:id="0"/>
    </w:p>
    <w:p w14:paraId="0F125922">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三、资格要求</w:t>
      </w:r>
    </w:p>
    <w:p w14:paraId="7C67DC81">
      <w:pPr>
        <w:spacing w:line="360" w:lineRule="auto"/>
        <w:ind w:firstLine="480" w:firstLineChars="200"/>
        <w:rPr>
          <w:rFonts w:eastAsia="宋体"/>
          <w:color w:val="auto"/>
          <w:sz w:val="24"/>
          <w:highlight w:val="none"/>
        </w:rPr>
      </w:pPr>
      <w:r>
        <w:rPr>
          <w:rFonts w:hint="eastAsia"/>
          <w:color w:val="auto"/>
          <w:sz w:val="24"/>
          <w:highlight w:val="none"/>
        </w:rPr>
        <w:t>1.营业执照副本或事业单位法人证书或民办非企业单位登记证书或社会团体法人登记证书或基金会法人登记证书扫描件，</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中提供复印件并加盖公章。</w:t>
      </w:r>
    </w:p>
    <w:p w14:paraId="7F2D4845">
      <w:pPr>
        <w:spacing w:line="360" w:lineRule="auto"/>
        <w:ind w:firstLine="480" w:firstLineChars="200"/>
        <w:rPr>
          <w:color w:val="auto"/>
          <w:sz w:val="24"/>
          <w:highlight w:val="none"/>
        </w:rPr>
      </w:pPr>
      <w:r>
        <w:rPr>
          <w:rFonts w:hint="eastAsia"/>
          <w:color w:val="auto"/>
          <w:sz w:val="24"/>
          <w:highlight w:val="none"/>
        </w:rPr>
        <w:t>2.</w:t>
      </w:r>
      <w:r>
        <w:rPr>
          <w:rFonts w:hint="eastAsia" w:ascii="宋体" w:hAnsi="宋体" w:cs="宋体"/>
          <w:color w:val="auto"/>
          <w:kern w:val="0"/>
          <w:sz w:val="24"/>
          <w:highlight w:val="none"/>
        </w:rPr>
        <w:t xml:space="preserve"> 具有良好的商业信誉和健全的财务会计制度</w:t>
      </w:r>
    </w:p>
    <w:p w14:paraId="27EE6699">
      <w:pPr>
        <w:spacing w:line="360" w:lineRule="auto"/>
        <w:ind w:firstLine="480" w:firstLineChars="200"/>
        <w:rPr>
          <w:color w:val="auto"/>
          <w:sz w:val="24"/>
          <w:highlight w:val="none"/>
        </w:rPr>
      </w:pPr>
      <w:r>
        <w:rPr>
          <w:rFonts w:hint="eastAsia"/>
          <w:color w:val="auto"/>
          <w:sz w:val="24"/>
          <w:highlight w:val="none"/>
        </w:rPr>
        <w:t>A.经第三方会计师事务所审计的2025年度</w:t>
      </w:r>
      <w:r>
        <w:rPr>
          <w:rFonts w:hint="eastAsia" w:ascii="宋体" w:hAnsi="宋体" w:cs="宋体"/>
          <w:color w:val="auto"/>
          <w:kern w:val="0"/>
          <w:sz w:val="24"/>
          <w:highlight w:val="none"/>
        </w:rPr>
        <w:t>企业财务报告</w:t>
      </w:r>
      <w:r>
        <w:rPr>
          <w:rFonts w:hint="eastAsia"/>
          <w:color w:val="auto"/>
          <w:sz w:val="24"/>
          <w:highlight w:val="none"/>
        </w:rPr>
        <w:t>报告扫描件。</w:t>
      </w:r>
    </w:p>
    <w:p w14:paraId="0E63EA76">
      <w:pPr>
        <w:spacing w:line="360" w:lineRule="auto"/>
        <w:ind w:firstLine="480" w:firstLineChars="200"/>
        <w:rPr>
          <w:color w:val="auto"/>
          <w:sz w:val="24"/>
          <w:highlight w:val="none"/>
        </w:rPr>
      </w:pPr>
      <w:r>
        <w:rPr>
          <w:rFonts w:hint="eastAsia"/>
          <w:color w:val="auto"/>
          <w:sz w:val="24"/>
          <w:highlight w:val="none"/>
        </w:rPr>
        <w:t>B.</w:t>
      </w:r>
      <w:r>
        <w:rPr>
          <w:rFonts w:hint="eastAsia" w:ascii="宋体" w:hAnsi="宋体" w:cs="宋体"/>
          <w:color w:val="auto"/>
          <w:sz w:val="24"/>
          <w:szCs w:val="24"/>
          <w:highlight w:val="none"/>
        </w:rPr>
        <w:t>投标截止日期前近3个月内银行出具的资信证明复印件</w:t>
      </w:r>
      <w:r>
        <w:rPr>
          <w:rFonts w:hint="eastAsia"/>
          <w:color w:val="auto"/>
          <w:sz w:val="24"/>
          <w:highlight w:val="none"/>
        </w:rPr>
        <w:t>。</w:t>
      </w:r>
    </w:p>
    <w:p w14:paraId="2ADC6F11">
      <w:pPr>
        <w:spacing w:line="360" w:lineRule="auto"/>
        <w:ind w:firstLine="480" w:firstLineChars="200"/>
        <w:rPr>
          <w:color w:val="auto"/>
          <w:sz w:val="24"/>
          <w:highlight w:val="none"/>
        </w:rPr>
      </w:pPr>
      <w:r>
        <w:rPr>
          <w:rFonts w:hint="eastAsia"/>
          <w:color w:val="auto"/>
          <w:sz w:val="24"/>
          <w:highlight w:val="none"/>
        </w:rPr>
        <w:t>注：A、B两项提供任意一项均可，</w:t>
      </w:r>
      <w:r>
        <w:rPr>
          <w:rFonts w:hint="eastAsia" w:ascii="宋体" w:hAnsi="宋体" w:cs="宋体"/>
          <w:color w:val="auto"/>
          <w:sz w:val="24"/>
          <w:szCs w:val="24"/>
          <w:highlight w:val="none"/>
          <w:lang w:eastAsia="zh-CN"/>
        </w:rPr>
        <w:t>响应文件</w:t>
      </w:r>
      <w:r>
        <w:rPr>
          <w:rFonts w:hint="eastAsia" w:ascii="宋体" w:hAnsi="宋体" w:cs="宋体"/>
          <w:color w:val="auto"/>
          <w:sz w:val="24"/>
          <w:szCs w:val="24"/>
          <w:highlight w:val="none"/>
        </w:rPr>
        <w:t>中提供证明材料复印件并加盖公章</w:t>
      </w:r>
      <w:r>
        <w:rPr>
          <w:rFonts w:hint="eastAsia"/>
          <w:color w:val="auto"/>
          <w:sz w:val="24"/>
          <w:highlight w:val="none"/>
        </w:rPr>
        <w:t>。</w:t>
      </w:r>
    </w:p>
    <w:p w14:paraId="741AA9BF">
      <w:pPr>
        <w:spacing w:line="360" w:lineRule="auto"/>
        <w:ind w:firstLine="480" w:firstLineChars="200"/>
        <w:rPr>
          <w:color w:val="auto"/>
          <w:sz w:val="24"/>
          <w:highlight w:val="none"/>
        </w:rPr>
      </w:pPr>
      <w:r>
        <w:rPr>
          <w:rFonts w:hint="eastAsia"/>
          <w:color w:val="auto"/>
          <w:sz w:val="24"/>
          <w:highlight w:val="none"/>
        </w:rPr>
        <w:t>3.</w:t>
      </w:r>
      <w:r>
        <w:rPr>
          <w:rFonts w:hint="eastAsia" w:ascii="宋体" w:hAnsi="宋体" w:cs="宋体"/>
          <w:color w:val="auto"/>
          <w:kern w:val="0"/>
          <w:sz w:val="24"/>
          <w:highlight w:val="none"/>
        </w:rPr>
        <w:t>有依法缴纳税收和社会保障资金的良好记录。</w:t>
      </w:r>
      <w:r>
        <w:rPr>
          <w:rFonts w:hint="eastAsia"/>
          <w:color w:val="auto"/>
          <w:sz w:val="24"/>
          <w:highlight w:val="none"/>
        </w:rPr>
        <w:t>提供2025年9月至今至少1个月的依法缴纳税收和社会保险费的相关证明材料扫描件或复印件并加盖公章。</w:t>
      </w:r>
    </w:p>
    <w:p w14:paraId="1E2F9238">
      <w:pPr>
        <w:spacing w:line="360" w:lineRule="auto"/>
        <w:ind w:firstLine="480" w:firstLineChars="200"/>
        <w:rPr>
          <w:color w:val="auto"/>
          <w:sz w:val="24"/>
          <w:highlight w:val="none"/>
        </w:rPr>
      </w:pPr>
      <w:r>
        <w:rPr>
          <w:rFonts w:hint="eastAsia"/>
          <w:color w:val="auto"/>
          <w:sz w:val="24"/>
          <w:highlight w:val="none"/>
        </w:rPr>
        <w:t>4.提交响应文件截止日前3年在经营活动中没有重大违法记录的书面声明（截至提交响应文件截止日成立不足3年的供应商可提供自成立以来无重大违法记录的书面声明），</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中提供书面声明原件</w:t>
      </w:r>
      <w:r>
        <w:rPr>
          <w:rFonts w:hint="eastAsia"/>
          <w:color w:val="auto"/>
          <w:sz w:val="24"/>
          <w:highlight w:val="none"/>
        </w:rPr>
        <w:t>。</w:t>
      </w:r>
    </w:p>
    <w:p w14:paraId="7A59F8D6">
      <w:pPr>
        <w:spacing w:line="360" w:lineRule="auto"/>
        <w:ind w:firstLine="480" w:firstLineChars="200"/>
        <w:rPr>
          <w:color w:val="auto"/>
          <w:sz w:val="24"/>
          <w:highlight w:val="none"/>
        </w:rPr>
      </w:pPr>
      <w:r>
        <w:rPr>
          <w:rFonts w:hint="eastAsia"/>
          <w:color w:val="auto"/>
          <w:sz w:val="24"/>
          <w:highlight w:val="none"/>
        </w:rPr>
        <w:t>5.供应商须由法定代表人或其授权的委托代理人参加磋商。供应商若为法定代表人参加磋商，须提供法定代表人资格证明书及身份证原件；供应商若为被授权的委托代理人参加磋商，须提供法定代表人资格证明书、法人代表授权书（须由法定代表人签字或盖章）和被授权人身份证原件。</w:t>
      </w:r>
    </w:p>
    <w:p w14:paraId="5E50C244">
      <w:pPr>
        <w:spacing w:line="360" w:lineRule="auto"/>
        <w:ind w:firstLine="480" w:firstLineChars="200"/>
        <w:rPr>
          <w:rFonts w:eastAsia="宋体"/>
          <w:color w:val="auto"/>
          <w:sz w:val="24"/>
          <w:highlight w:val="none"/>
        </w:rPr>
      </w:pPr>
      <w:r>
        <w:rPr>
          <w:rFonts w:hint="eastAsia"/>
          <w:color w:val="auto"/>
          <w:sz w:val="24"/>
          <w:highlight w:val="none"/>
        </w:rPr>
        <w:t>6.本项目不接受联合体,成交后不得分包、转包，需提供《非联合体磋商声明函》及《不分包、转包承诺函》。</w:t>
      </w:r>
    </w:p>
    <w:p w14:paraId="0F4B55C6">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四、本次改造设备、器材和服务清单如下：</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54"/>
        <w:gridCol w:w="2913"/>
        <w:gridCol w:w="1342"/>
        <w:gridCol w:w="1985"/>
      </w:tblGrid>
      <w:tr w14:paraId="19B6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0" w:type="auto"/>
            <w:noWrap w:val="0"/>
            <w:tcMar>
              <w:top w:w="96" w:type="dxa"/>
              <w:left w:w="144" w:type="dxa"/>
              <w:bottom w:w="96" w:type="dxa"/>
              <w:right w:w="144" w:type="dxa"/>
            </w:tcMar>
            <w:vAlign w:val="top"/>
          </w:tcPr>
          <w:p w14:paraId="061992DF">
            <w:pPr>
              <w:widowControl/>
              <w:jc w:val="left"/>
              <w:textAlignment w:val="baseline"/>
              <w:rPr>
                <w:b/>
                <w:bCs/>
                <w:color w:val="auto"/>
                <w:highlight w:val="none"/>
              </w:rPr>
            </w:pPr>
            <w:r>
              <w:rPr>
                <w:rFonts w:ascii="宋体" w:hAnsi="宋体" w:cs="宋体"/>
                <w:b/>
                <w:bCs/>
                <w:color w:val="auto"/>
                <w:kern w:val="0"/>
                <w:sz w:val="24"/>
                <w:highlight w:val="none"/>
              </w:rPr>
              <w:t>名称</w:t>
            </w:r>
          </w:p>
        </w:tc>
        <w:tc>
          <w:tcPr>
            <w:tcW w:w="2913" w:type="dxa"/>
            <w:noWrap w:val="0"/>
            <w:tcMar>
              <w:top w:w="96" w:type="dxa"/>
              <w:left w:w="144" w:type="dxa"/>
              <w:bottom w:w="96" w:type="dxa"/>
              <w:right w:w="144" w:type="dxa"/>
            </w:tcMar>
            <w:vAlign w:val="top"/>
          </w:tcPr>
          <w:p w14:paraId="182C8AC7">
            <w:pPr>
              <w:widowControl/>
              <w:jc w:val="left"/>
              <w:textAlignment w:val="baseline"/>
              <w:rPr>
                <w:b/>
                <w:bCs/>
                <w:color w:val="auto"/>
                <w:highlight w:val="none"/>
              </w:rPr>
            </w:pPr>
            <w:r>
              <w:rPr>
                <w:rFonts w:ascii="宋体" w:hAnsi="宋体" w:cs="宋体"/>
                <w:b/>
                <w:bCs/>
                <w:color w:val="auto"/>
                <w:kern w:val="0"/>
                <w:sz w:val="24"/>
                <w:highlight w:val="none"/>
              </w:rPr>
              <w:t>规格/参数</w:t>
            </w:r>
          </w:p>
        </w:tc>
        <w:tc>
          <w:tcPr>
            <w:tcW w:w="1342" w:type="dxa"/>
            <w:noWrap w:val="0"/>
            <w:tcMar>
              <w:top w:w="96" w:type="dxa"/>
              <w:left w:w="144" w:type="dxa"/>
              <w:bottom w:w="96" w:type="dxa"/>
              <w:right w:w="144" w:type="dxa"/>
            </w:tcMar>
            <w:vAlign w:val="top"/>
          </w:tcPr>
          <w:p w14:paraId="368CE6A6">
            <w:pPr>
              <w:widowControl/>
              <w:jc w:val="left"/>
              <w:textAlignment w:val="baseline"/>
              <w:rPr>
                <w:b/>
                <w:bCs/>
                <w:color w:val="auto"/>
                <w:highlight w:val="none"/>
              </w:rPr>
            </w:pPr>
            <w:r>
              <w:rPr>
                <w:rFonts w:ascii="宋体" w:hAnsi="宋体" w:cs="宋体"/>
                <w:b/>
                <w:bCs/>
                <w:color w:val="auto"/>
                <w:kern w:val="0"/>
                <w:sz w:val="24"/>
                <w:highlight w:val="none"/>
              </w:rPr>
              <w:t>数量</w:t>
            </w:r>
          </w:p>
        </w:tc>
        <w:tc>
          <w:tcPr>
            <w:tcW w:w="1985" w:type="dxa"/>
            <w:noWrap w:val="0"/>
            <w:tcMar>
              <w:top w:w="96" w:type="dxa"/>
              <w:left w:w="144" w:type="dxa"/>
              <w:bottom w:w="96" w:type="dxa"/>
              <w:right w:w="144" w:type="dxa"/>
            </w:tcMar>
            <w:vAlign w:val="top"/>
          </w:tcPr>
          <w:p w14:paraId="63615A16">
            <w:pPr>
              <w:widowControl/>
              <w:jc w:val="left"/>
              <w:textAlignment w:val="baseline"/>
              <w:rPr>
                <w:b/>
                <w:bCs/>
                <w:color w:val="auto"/>
                <w:highlight w:val="none"/>
              </w:rPr>
            </w:pPr>
            <w:r>
              <w:rPr>
                <w:rFonts w:ascii="宋体" w:hAnsi="宋体" w:cs="宋体"/>
                <w:b/>
                <w:bCs/>
                <w:color w:val="auto"/>
                <w:kern w:val="0"/>
                <w:sz w:val="24"/>
                <w:highlight w:val="none"/>
              </w:rPr>
              <w:t>备注</w:t>
            </w:r>
          </w:p>
        </w:tc>
      </w:tr>
      <w:tr w14:paraId="62C1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noWrap w:val="0"/>
            <w:tcMar>
              <w:top w:w="96" w:type="dxa"/>
              <w:left w:w="144" w:type="dxa"/>
              <w:bottom w:w="96" w:type="dxa"/>
              <w:right w:w="144" w:type="dxa"/>
            </w:tcMar>
            <w:vAlign w:val="top"/>
          </w:tcPr>
          <w:p w14:paraId="0C0CE103">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风机</w:t>
            </w:r>
          </w:p>
        </w:tc>
        <w:tc>
          <w:tcPr>
            <w:tcW w:w="2913" w:type="dxa"/>
            <w:noWrap w:val="0"/>
            <w:tcMar>
              <w:top w:w="96" w:type="dxa"/>
              <w:left w:w="144" w:type="dxa"/>
              <w:bottom w:w="96" w:type="dxa"/>
              <w:right w:w="144" w:type="dxa"/>
            </w:tcMar>
            <w:vAlign w:val="top"/>
          </w:tcPr>
          <w:p w14:paraId="4D8431ED">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风量2000m³</w:t>
            </w:r>
            <w:r>
              <w:rPr>
                <w:rFonts w:ascii="宋体" w:hAnsi="宋体" w:cs="宋体"/>
                <w:color w:val="auto"/>
                <w:kern w:val="0"/>
                <w:sz w:val="24"/>
                <w:highlight w:val="none"/>
              </w:rPr>
              <w:t>/h</w:t>
            </w:r>
            <w:r>
              <w:rPr>
                <w:rFonts w:hint="eastAsia" w:ascii="宋体" w:hAnsi="宋体" w:cs="宋体"/>
                <w:color w:val="auto"/>
                <w:kern w:val="0"/>
                <w:sz w:val="24"/>
                <w:highlight w:val="none"/>
              </w:rPr>
              <w:t>风压5000</w:t>
            </w:r>
            <w:r>
              <w:rPr>
                <w:rFonts w:hint="eastAsia"/>
                <w:color w:val="auto"/>
                <w:highlight w:val="none"/>
              </w:rPr>
              <w:t xml:space="preserve"> Pa</w:t>
            </w:r>
          </w:p>
          <w:p w14:paraId="1601DD7C">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380V，3KW，2900r/min</w:t>
            </w:r>
          </w:p>
        </w:tc>
        <w:tc>
          <w:tcPr>
            <w:tcW w:w="1342" w:type="dxa"/>
            <w:noWrap w:val="0"/>
            <w:tcMar>
              <w:top w:w="96" w:type="dxa"/>
              <w:left w:w="144" w:type="dxa"/>
              <w:bottom w:w="96" w:type="dxa"/>
              <w:right w:w="144" w:type="dxa"/>
            </w:tcMar>
            <w:vAlign w:val="top"/>
          </w:tcPr>
          <w:p w14:paraId="545542FE">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1台</w:t>
            </w:r>
          </w:p>
        </w:tc>
        <w:tc>
          <w:tcPr>
            <w:tcW w:w="1985" w:type="dxa"/>
            <w:noWrap w:val="0"/>
            <w:tcMar>
              <w:top w:w="96" w:type="dxa"/>
              <w:left w:w="144" w:type="dxa"/>
              <w:bottom w:w="96" w:type="dxa"/>
              <w:right w:w="144" w:type="dxa"/>
            </w:tcMar>
            <w:vAlign w:val="top"/>
          </w:tcPr>
          <w:p w14:paraId="7F3D6817">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需包含风机管道Φ300/长3m、Φ500/长7m及固定角铁</w:t>
            </w:r>
          </w:p>
        </w:tc>
      </w:tr>
      <w:tr w14:paraId="7F7D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trPr>
        <w:tc>
          <w:tcPr>
            <w:tcW w:w="0" w:type="auto"/>
            <w:noWrap w:val="0"/>
            <w:tcMar>
              <w:top w:w="96" w:type="dxa"/>
              <w:left w:w="144" w:type="dxa"/>
              <w:bottom w:w="96" w:type="dxa"/>
              <w:right w:w="144" w:type="dxa"/>
            </w:tcMar>
            <w:vAlign w:val="top"/>
          </w:tcPr>
          <w:p w14:paraId="38EBFB66">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活性炭环保吸附箱（二级）</w:t>
            </w:r>
          </w:p>
        </w:tc>
        <w:tc>
          <w:tcPr>
            <w:tcW w:w="2913" w:type="dxa"/>
            <w:noWrap w:val="0"/>
            <w:tcMar>
              <w:top w:w="96" w:type="dxa"/>
              <w:left w:w="144" w:type="dxa"/>
              <w:bottom w:w="96" w:type="dxa"/>
              <w:right w:w="144" w:type="dxa"/>
            </w:tcMar>
            <w:vAlign w:val="top"/>
          </w:tcPr>
          <w:p w14:paraId="0075DB82">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1500 m³/h  净化95%以上</w:t>
            </w:r>
          </w:p>
          <w:p w14:paraId="36CB3E95">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废气在箱内停留时间需≥1.5秒，一级粗效单元：选用大孔煤质活性炭，优先选柱状炭，碘值≥800mg/g，直径≤5mm，用于拦截大分子污染物。</w:t>
            </w:r>
          </w:p>
          <w:p w14:paraId="316867CE">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二级精效单元：选用高碘值蜂窝活性炭，碘值≥800mg/g，比表面积≥750㎡/g，横向强度≥0.3MPa，适配小分子VOCs深度吸附。柱状活性炭堆积密度约‌500~600kg/m³‌，蜂窝活性炭堆积密度约‌300~400kg/m³</w:t>
            </w:r>
          </w:p>
        </w:tc>
        <w:tc>
          <w:tcPr>
            <w:tcW w:w="1342" w:type="dxa"/>
            <w:noWrap w:val="0"/>
            <w:tcMar>
              <w:top w:w="96" w:type="dxa"/>
              <w:left w:w="144" w:type="dxa"/>
              <w:bottom w:w="96" w:type="dxa"/>
              <w:right w:w="144" w:type="dxa"/>
            </w:tcMar>
            <w:vAlign w:val="top"/>
          </w:tcPr>
          <w:p w14:paraId="17356285">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1台</w:t>
            </w:r>
          </w:p>
        </w:tc>
        <w:tc>
          <w:tcPr>
            <w:tcW w:w="1985" w:type="dxa"/>
            <w:noWrap w:val="0"/>
            <w:tcMar>
              <w:top w:w="96" w:type="dxa"/>
              <w:left w:w="144" w:type="dxa"/>
              <w:bottom w:w="96" w:type="dxa"/>
              <w:right w:w="144" w:type="dxa"/>
            </w:tcMar>
            <w:vAlign w:val="top"/>
          </w:tcPr>
          <w:p w14:paraId="7E13BF2B">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吸附，需包含活性炭</w:t>
            </w:r>
          </w:p>
        </w:tc>
      </w:tr>
      <w:tr w14:paraId="2FCB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trPr>
        <w:tc>
          <w:tcPr>
            <w:tcW w:w="0" w:type="auto"/>
            <w:noWrap w:val="0"/>
            <w:tcMar>
              <w:top w:w="96" w:type="dxa"/>
              <w:left w:w="144" w:type="dxa"/>
              <w:bottom w:w="96" w:type="dxa"/>
              <w:right w:w="144" w:type="dxa"/>
            </w:tcMar>
            <w:vAlign w:val="top"/>
          </w:tcPr>
          <w:p w14:paraId="42DDE816">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uv光氧催化净化器</w:t>
            </w:r>
            <w:r>
              <w:rPr>
                <w:rFonts w:ascii="宋体" w:hAnsi="宋体" w:cs="宋体"/>
                <w:color w:val="auto"/>
                <w:kern w:val="0"/>
                <w:sz w:val="24"/>
                <w:highlight w:val="none"/>
              </w:rPr>
              <w:t> </w:t>
            </w:r>
          </w:p>
        </w:tc>
        <w:tc>
          <w:tcPr>
            <w:tcW w:w="2913" w:type="dxa"/>
            <w:noWrap w:val="0"/>
            <w:tcMar>
              <w:top w:w="96" w:type="dxa"/>
              <w:left w:w="144" w:type="dxa"/>
              <w:bottom w:w="96" w:type="dxa"/>
              <w:right w:w="144" w:type="dxa"/>
            </w:tcMar>
            <w:vAlign w:val="top"/>
          </w:tcPr>
          <w:p w14:paraId="06ACC6CE">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1500m3/h  380V，4.5KW。配套12~16支150W UV紫外灯管</w:t>
            </w:r>
          </w:p>
        </w:tc>
        <w:tc>
          <w:tcPr>
            <w:tcW w:w="1342" w:type="dxa"/>
            <w:noWrap w:val="0"/>
            <w:tcMar>
              <w:top w:w="96" w:type="dxa"/>
              <w:left w:w="144" w:type="dxa"/>
              <w:bottom w:w="96" w:type="dxa"/>
              <w:right w:w="144" w:type="dxa"/>
            </w:tcMar>
            <w:vAlign w:val="top"/>
          </w:tcPr>
          <w:p w14:paraId="0414C41D">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1台</w:t>
            </w:r>
          </w:p>
        </w:tc>
        <w:tc>
          <w:tcPr>
            <w:tcW w:w="1985" w:type="dxa"/>
            <w:noWrap w:val="0"/>
            <w:tcMar>
              <w:top w:w="96" w:type="dxa"/>
              <w:left w:w="144" w:type="dxa"/>
              <w:bottom w:w="96" w:type="dxa"/>
              <w:right w:w="144" w:type="dxa"/>
            </w:tcMar>
            <w:vAlign w:val="top"/>
          </w:tcPr>
          <w:p w14:paraId="02AB26AB">
            <w:pPr>
              <w:widowControl/>
              <w:jc w:val="left"/>
              <w:textAlignment w:val="baseline"/>
              <w:rPr>
                <w:rFonts w:ascii="宋体" w:hAnsi="宋体" w:cs="宋体"/>
                <w:color w:val="auto"/>
                <w:kern w:val="0"/>
                <w:sz w:val="24"/>
                <w:highlight w:val="none"/>
              </w:rPr>
            </w:pPr>
            <w:r>
              <w:rPr>
                <w:rFonts w:hint="eastAsia" w:ascii="宋体" w:hAnsi="宋体" w:cs="宋体"/>
                <w:color w:val="auto"/>
                <w:kern w:val="0"/>
                <w:sz w:val="24"/>
                <w:highlight w:val="none"/>
              </w:rPr>
              <w:t>消毒 光解</w:t>
            </w:r>
          </w:p>
        </w:tc>
      </w:tr>
    </w:tbl>
    <w:p w14:paraId="08B81470">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注：以上包括但不限于安装所需钢材及加工、安装所需工具及辅材等。</w:t>
      </w:r>
    </w:p>
    <w:p w14:paraId="03FF3EF8">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五、其他要求</w:t>
      </w:r>
    </w:p>
    <w:p w14:paraId="4800FC68">
      <w:pPr>
        <w:pStyle w:val="4"/>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0"/>
        <w:textAlignment w:val="auto"/>
        <w:rPr>
          <w:rFonts w:ascii="宋体" w:hAnsi="宋体"/>
          <w:color w:val="auto"/>
          <w:sz w:val="24"/>
          <w:szCs w:val="24"/>
          <w:highlight w:val="none"/>
        </w:rPr>
      </w:pPr>
      <w:r>
        <w:rPr>
          <w:rFonts w:hint="eastAsia" w:ascii="宋体" w:hAnsi="宋体"/>
          <w:color w:val="auto"/>
          <w:sz w:val="24"/>
          <w:szCs w:val="24"/>
          <w:highlight w:val="none"/>
        </w:rPr>
        <w:t>安装要求：按照原设计施工图纸布局，本设备安装需包含旧设备拆除及处理。</w:t>
      </w:r>
    </w:p>
    <w:p w14:paraId="60F7E038">
      <w:pPr>
        <w:pStyle w:val="4"/>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0"/>
        <w:textAlignment w:val="auto"/>
        <w:rPr>
          <w:rFonts w:ascii="宋体" w:hAnsi="宋体"/>
          <w:color w:val="auto"/>
          <w:sz w:val="24"/>
          <w:szCs w:val="24"/>
          <w:highlight w:val="none"/>
        </w:rPr>
      </w:pPr>
      <w:r>
        <w:rPr>
          <w:rFonts w:hint="eastAsia" w:ascii="宋体" w:hAnsi="宋体"/>
          <w:color w:val="auto"/>
          <w:sz w:val="24"/>
          <w:szCs w:val="24"/>
          <w:highlight w:val="none"/>
        </w:rPr>
        <w:t>安装工艺流程：临边防护→拆除旧管道及设备→测量放线→设备就位→锚栓固定→型钢支架安装→防腐涂装→固定管道→自检→安装完成验收→试运行。</w:t>
      </w:r>
    </w:p>
    <w:p w14:paraId="41963C67">
      <w:pPr>
        <w:pStyle w:val="4"/>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0"/>
        <w:textAlignment w:val="auto"/>
        <w:rPr>
          <w:rFonts w:ascii="宋体" w:hAnsi="宋体"/>
          <w:color w:val="auto"/>
          <w:sz w:val="24"/>
          <w:szCs w:val="24"/>
          <w:highlight w:val="none"/>
        </w:rPr>
      </w:pPr>
      <w:r>
        <w:rPr>
          <w:rFonts w:hint="eastAsia" w:ascii="宋体" w:hAnsi="宋体"/>
          <w:color w:val="auto"/>
          <w:sz w:val="24"/>
          <w:szCs w:val="24"/>
          <w:highlight w:val="none"/>
        </w:rPr>
        <w:t>安装人员要求持有：特种作业操作证（低压电工作业证）</w:t>
      </w:r>
      <w:r>
        <w:rPr>
          <w:rFonts w:hint="eastAsia" w:ascii="宋体" w:hAnsi="宋体"/>
          <w:color w:val="auto"/>
          <w:sz w:val="24"/>
          <w:szCs w:val="24"/>
          <w:highlight w:val="none"/>
          <w:lang w:eastAsia="zh-CN"/>
        </w:rPr>
        <w:t>。</w:t>
      </w:r>
    </w:p>
    <w:p w14:paraId="6E824EE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
        <w:textAlignment w:val="auto"/>
        <w:rPr>
          <w:rFonts w:ascii="宋体" w:hAnsi="宋体"/>
          <w:color w:val="auto"/>
          <w:sz w:val="24"/>
          <w:szCs w:val="24"/>
          <w:highlight w:val="none"/>
        </w:rPr>
      </w:pPr>
      <w:r>
        <w:rPr>
          <w:rFonts w:hint="eastAsia" w:ascii="宋体" w:hAnsi="宋体"/>
          <w:color w:val="auto"/>
          <w:sz w:val="24"/>
          <w:szCs w:val="24"/>
          <w:highlight w:val="none"/>
        </w:rPr>
        <w:t>安装（施工）完成周期：签订合同之日起15日内。</w:t>
      </w:r>
    </w:p>
    <w:p w14:paraId="40BD88C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
        <w:textAlignment w:val="auto"/>
        <w:rPr>
          <w:rFonts w:ascii="宋体" w:hAnsi="宋体"/>
          <w:color w:val="auto"/>
          <w:sz w:val="24"/>
          <w:szCs w:val="24"/>
          <w:highlight w:val="none"/>
        </w:rPr>
      </w:pPr>
      <w:r>
        <w:rPr>
          <w:rFonts w:hint="eastAsia" w:ascii="宋体" w:hAnsi="宋体"/>
          <w:color w:val="auto"/>
          <w:sz w:val="24"/>
          <w:szCs w:val="24"/>
          <w:highlight w:val="none"/>
        </w:rPr>
        <w:t>安装地点：天津市滨海新区柳州东道292号。</w:t>
      </w:r>
    </w:p>
    <w:p w14:paraId="5507DB1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
        <w:textAlignment w:val="auto"/>
        <w:rPr>
          <w:rFonts w:ascii="宋体" w:hAnsi="宋体"/>
          <w:color w:val="auto"/>
          <w:sz w:val="24"/>
          <w:szCs w:val="24"/>
          <w:highlight w:val="none"/>
        </w:rPr>
      </w:pPr>
      <w:r>
        <w:rPr>
          <w:rFonts w:hint="eastAsia" w:ascii="宋体" w:hAnsi="宋体"/>
          <w:color w:val="auto"/>
          <w:sz w:val="24"/>
          <w:szCs w:val="24"/>
          <w:highlight w:val="none"/>
        </w:rPr>
        <w:t>售后服务：质保期1年。</w:t>
      </w:r>
    </w:p>
    <w:p w14:paraId="25D22EF5">
      <w:pPr>
        <w:autoSpaceDE w:val="0"/>
        <w:autoSpaceDN w:val="0"/>
        <w:spacing w:line="360" w:lineRule="auto"/>
        <w:ind w:firstLine="482" w:firstLineChars="200"/>
        <w:rPr>
          <w:b/>
          <w:color w:val="auto"/>
          <w:sz w:val="24"/>
          <w:highlight w:val="none"/>
        </w:rPr>
      </w:pPr>
      <w:r>
        <w:rPr>
          <w:rFonts w:hint="eastAsia"/>
          <w:b/>
          <w:color w:val="auto"/>
          <w:sz w:val="24"/>
          <w:highlight w:val="none"/>
        </w:rPr>
        <w:t>六、付款方式</w:t>
      </w:r>
    </w:p>
    <w:p w14:paraId="20203A57">
      <w:pPr>
        <w:autoSpaceDE w:val="0"/>
        <w:autoSpaceDN w:val="0"/>
        <w:adjustRightIn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合同签订生效后，供应商按采购人要求的实际数量、时间完成交货及安装，采购人完成验收合格后，供应商提供据实总额的全额发票后60日内，采购人支付全额的90%，自验收合格之日起满1年后（若无质量问题），支付10%的尾款。</w:t>
      </w:r>
    </w:p>
    <w:p w14:paraId="12C6E41B">
      <w:pPr>
        <w:autoSpaceDE w:val="0"/>
        <w:autoSpaceDN w:val="0"/>
        <w:spacing w:line="360" w:lineRule="auto"/>
        <w:ind w:firstLine="482" w:firstLineChars="200"/>
        <w:rPr>
          <w:b/>
          <w:color w:val="auto"/>
          <w:sz w:val="24"/>
          <w:highlight w:val="none"/>
        </w:rPr>
      </w:pPr>
      <w:r>
        <w:rPr>
          <w:rFonts w:hint="eastAsia"/>
          <w:b/>
          <w:color w:val="auto"/>
          <w:sz w:val="24"/>
          <w:highlight w:val="none"/>
        </w:rPr>
        <w:t>七、验收标准</w:t>
      </w:r>
    </w:p>
    <w:p w14:paraId="56187EFD">
      <w:pPr>
        <w:autoSpaceDE w:val="0"/>
        <w:autoSpaceDN w:val="0"/>
        <w:adjustRightIn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按照采购合同的约定和现行国家标准、行业标准、地方标准进行验收，包括所有客观、量化指标。</w:t>
      </w:r>
    </w:p>
    <w:p w14:paraId="2489AB2D">
      <w:pPr>
        <w:autoSpaceDE w:val="0"/>
        <w:autoSpaceDN w:val="0"/>
        <w:adjustRightInd w:val="0"/>
        <w:spacing w:line="360" w:lineRule="auto"/>
        <w:ind w:firstLine="480" w:firstLineChars="200"/>
        <w:jc w:val="left"/>
        <w:rPr>
          <w:rFonts w:ascii="宋体" w:hAnsi="宋体"/>
          <w:color w:val="auto"/>
          <w:sz w:val="24"/>
          <w:highlight w:val="none"/>
        </w:rPr>
      </w:pPr>
    </w:p>
    <w:p w14:paraId="69E0D7B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E172C"/>
    <w:multiLevelType w:val="multilevel"/>
    <w:tmpl w:val="149E172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A11D80"/>
    <w:rsid w:val="05A11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2026-08-12T00:50:00Z</dcterms:created>
  <dc:creator>柳絮飞</dc:creator>
  <cp:lastModifiedBy>柳絮飞</cp:lastModifiedBy>
  <dcterms:modified xsi:type="dcterms:W3CDTF">2026-08-12T00:50:47Z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4D1F7167B9A34FA382B33A6F69C13A12_11</vt:lpwstr>
  </property>
  <property fmtid="{D5CDD505-2E9C-101B-9397-08002B2CF9AE}" pid="4" name="KSOTemplateDocerSaveRecord">
    <vt:lpwstr>eyJoZGlkIjoiOWE1NmUwMmVjNjU2YzcwMDFmMzY3NzA5Mjc3MGE3YTQiLCJ1c2VySWQiOiIzMTIwNTAyMzUifQ==</vt:lpwstr>
  </property>
</Properties>
</file>