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69B30">
      <w:pPr>
        <w:spacing w:line="360" w:lineRule="auto"/>
        <w:ind w:firstLine="480" w:firstLineChars="200"/>
        <w:jc w:val="center"/>
        <w:rPr>
          <w:rFonts w:hint="eastAsia" w:ascii="宋体" w:hAnsi="宋体" w:cs="Times New Roman"/>
          <w:color w:val="auto"/>
          <w:szCs w:val="24"/>
          <w:highlight w:val="none"/>
          <w:lang w:eastAsia="zh-CN"/>
        </w:rPr>
      </w:pPr>
      <w:bookmarkStart w:id="0" w:name="_GoBack"/>
      <w:bookmarkEnd w:id="0"/>
      <w:r>
        <w:rPr>
          <w:rFonts w:hint="eastAsia" w:ascii="宋体" w:hAnsi="宋体" w:cs="Times New Roman"/>
          <w:color w:val="auto"/>
          <w:szCs w:val="24"/>
          <w:highlight w:val="none"/>
          <w:lang w:val="en-US" w:eastAsia="zh-CN"/>
        </w:rPr>
        <w:t>医院杭州道院区AE楼房屋安全鉴定服务项目</w:t>
      </w:r>
    </w:p>
    <w:p w14:paraId="1F282820">
      <w:pPr>
        <w:spacing w:line="360" w:lineRule="auto"/>
        <w:ind w:firstLine="480" w:firstLineChars="200"/>
        <w:rPr>
          <w:rFonts w:hint="eastAsia" w:ascii="宋体" w:hAnsi="宋体" w:cs="Times New Roman"/>
          <w:color w:val="auto"/>
          <w:szCs w:val="24"/>
          <w:highlight w:val="none"/>
          <w:lang w:val="en-US" w:eastAsia="zh-CN"/>
        </w:rPr>
      </w:pPr>
    </w:p>
    <w:p w14:paraId="5ECB1B87">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val="en-US" w:eastAsia="zh-CN"/>
        </w:rPr>
        <w:t>一</w:t>
      </w:r>
      <w:r>
        <w:rPr>
          <w:rFonts w:hint="eastAsia" w:ascii="宋体" w:hAnsi="宋体" w:cs="Times New Roman"/>
          <w:color w:val="auto"/>
          <w:szCs w:val="24"/>
          <w:highlight w:val="none"/>
        </w:rPr>
        <w:t>、项目名称</w:t>
      </w:r>
    </w:p>
    <w:p w14:paraId="0E9AAD82">
      <w:pPr>
        <w:spacing w:line="360" w:lineRule="auto"/>
        <w:ind w:firstLine="480" w:firstLineChars="200"/>
        <w:rPr>
          <w:rFonts w:hint="eastAsia" w:ascii="宋体" w:hAnsi="宋体" w:cs="Times New Roman"/>
          <w:color w:val="auto"/>
          <w:szCs w:val="24"/>
          <w:highlight w:val="none"/>
          <w:lang w:eastAsia="zh-CN"/>
        </w:rPr>
      </w:pPr>
      <w:r>
        <w:rPr>
          <w:rFonts w:hint="eastAsia" w:ascii="宋体" w:hAnsi="宋体" w:cs="Times New Roman"/>
          <w:color w:val="auto"/>
          <w:szCs w:val="24"/>
          <w:highlight w:val="none"/>
          <w:lang w:val="en-US" w:eastAsia="zh-CN"/>
        </w:rPr>
        <w:t>天津市滨海新区中医医院杭州道院区AE楼房屋安全鉴定服务项目</w:t>
      </w:r>
    </w:p>
    <w:p w14:paraId="4B1A4FF1">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val="en-US" w:eastAsia="zh-CN"/>
        </w:rPr>
        <w:t>二、</w:t>
      </w:r>
      <w:r>
        <w:rPr>
          <w:rFonts w:hint="eastAsia" w:ascii="宋体" w:hAnsi="宋体" w:cs="Times New Roman"/>
          <w:color w:val="auto"/>
          <w:szCs w:val="24"/>
          <w:highlight w:val="none"/>
        </w:rPr>
        <w:t>项目预算</w:t>
      </w:r>
    </w:p>
    <w:p w14:paraId="192A8686">
      <w:pPr>
        <w:spacing w:line="360" w:lineRule="auto"/>
        <w:ind w:firstLine="480" w:firstLineChars="200"/>
        <w:rPr>
          <w:rFonts w:hint="eastAsia" w:ascii="宋体" w:hAnsi="宋体" w:cs="Times New Roman"/>
          <w:color w:val="auto"/>
          <w:szCs w:val="24"/>
          <w:highlight w:val="none"/>
          <w:lang w:val="en-US" w:eastAsia="zh-CN"/>
        </w:rPr>
      </w:pPr>
      <w:r>
        <w:rPr>
          <w:rFonts w:hint="eastAsia" w:ascii="宋体" w:hAnsi="宋体" w:cs="Times New Roman"/>
          <w:color w:val="auto"/>
          <w:szCs w:val="24"/>
          <w:highlight w:val="none"/>
          <w:lang w:val="en-US" w:eastAsia="zh-CN"/>
        </w:rPr>
        <w:t>人民币6.5万元（陆万伍仟元整）。</w:t>
      </w:r>
    </w:p>
    <w:p w14:paraId="5B28C6E8">
      <w:pPr>
        <w:spacing w:line="360" w:lineRule="auto"/>
        <w:ind w:firstLine="480" w:firstLineChars="200"/>
        <w:rPr>
          <w:rFonts w:hint="eastAsia" w:ascii="宋体" w:hAnsi="宋体" w:cs="Times New Roman"/>
          <w:color w:val="auto"/>
          <w:szCs w:val="24"/>
          <w:highlight w:val="none"/>
          <w:lang w:val="en-US" w:eastAsia="zh-CN"/>
        </w:rPr>
      </w:pPr>
      <w:r>
        <w:rPr>
          <w:rFonts w:hint="eastAsia" w:ascii="宋体" w:hAnsi="宋体" w:cs="Times New Roman"/>
          <w:color w:val="auto"/>
          <w:szCs w:val="24"/>
          <w:highlight w:val="none"/>
          <w:lang w:val="en-US" w:eastAsia="zh-CN"/>
        </w:rPr>
        <w:t>包括人员费、交通费、耗材费、检测费用、鉴定费用、数据整合费、报告编制印刷费、管理费、企业利润及税金等为完成招标文件规定全部任务所需的一切应有费用。</w:t>
      </w:r>
    </w:p>
    <w:p w14:paraId="53EBF9C8">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val="en-US" w:eastAsia="zh-CN"/>
        </w:rPr>
        <w:t>三、供应商</w:t>
      </w:r>
      <w:r>
        <w:rPr>
          <w:rFonts w:hint="eastAsia" w:ascii="宋体" w:hAnsi="宋体" w:cs="Times New Roman"/>
          <w:color w:val="auto"/>
          <w:szCs w:val="24"/>
          <w:highlight w:val="none"/>
        </w:rPr>
        <w:t>资格要求</w:t>
      </w:r>
    </w:p>
    <w:p w14:paraId="624CFB32">
      <w:pPr>
        <w:spacing w:line="360" w:lineRule="auto"/>
        <w:ind w:firstLine="480" w:firstLineChars="200"/>
        <w:rPr>
          <w:rFonts w:hint="eastAsia" w:ascii="宋体" w:hAnsi="宋体" w:cs="Times New Roman"/>
          <w:color w:val="auto"/>
          <w:szCs w:val="24"/>
          <w:highlight w:val="none"/>
          <w:lang w:val="en-US" w:eastAsia="zh-CN"/>
        </w:rPr>
      </w:pPr>
      <w:r>
        <w:rPr>
          <w:rFonts w:hint="eastAsia" w:ascii="宋体" w:hAnsi="宋体" w:cs="Times New Roman"/>
          <w:color w:val="auto"/>
          <w:szCs w:val="24"/>
          <w:highlight w:val="none"/>
          <w:lang w:val="en-US" w:eastAsia="zh-CN"/>
        </w:rPr>
        <w:t>1.</w:t>
      </w:r>
      <w:r>
        <w:rPr>
          <w:rFonts w:hint="eastAsia" w:ascii="宋体" w:hAnsi="宋体" w:cs="Times New Roman"/>
          <w:color w:val="auto"/>
          <w:szCs w:val="24"/>
          <w:highlight w:val="none"/>
          <w:lang w:eastAsia="zh-CN"/>
        </w:rPr>
        <w:t>具有独立承担民事责任能力，并提供相关证件；（</w:t>
      </w:r>
      <w:r>
        <w:rPr>
          <w:rFonts w:hint="eastAsia" w:ascii="宋体" w:hAnsi="宋体" w:cs="Times New Roman"/>
          <w:color w:val="auto"/>
          <w:szCs w:val="24"/>
          <w:highlight w:val="none"/>
          <w:lang w:val="en-US" w:eastAsia="zh-CN"/>
        </w:rPr>
        <w:t>有效期内的</w:t>
      </w:r>
      <w:r>
        <w:rPr>
          <w:rFonts w:hint="eastAsia" w:ascii="宋体" w:hAnsi="宋体" w:cs="Times New Roman"/>
          <w:color w:val="auto"/>
          <w:szCs w:val="24"/>
          <w:highlight w:val="none"/>
          <w:lang w:eastAsia="zh-CN"/>
        </w:rPr>
        <w:t>营业执照或事业单位法人证书或民办非企业单位登记证书或社会团体法人登记证书或基金会法人登记证书</w:t>
      </w:r>
      <w:r>
        <w:rPr>
          <w:rFonts w:hint="eastAsia" w:ascii="宋体" w:hAnsi="宋体" w:cs="Times New Roman"/>
          <w:color w:val="auto"/>
          <w:szCs w:val="24"/>
          <w:highlight w:val="none"/>
          <w:lang w:val="en-US" w:eastAsia="zh-CN"/>
        </w:rPr>
        <w:t>或自然人的身份证明</w:t>
      </w:r>
      <w:r>
        <w:rPr>
          <w:rFonts w:hint="eastAsia" w:ascii="宋体" w:hAnsi="宋体" w:cs="Times New Roman"/>
          <w:color w:val="auto"/>
          <w:szCs w:val="24"/>
          <w:highlight w:val="none"/>
          <w:lang w:eastAsia="zh-CN"/>
        </w:rPr>
        <w:t>）；</w:t>
      </w:r>
    </w:p>
    <w:p w14:paraId="1B46B365">
      <w:pPr>
        <w:spacing w:line="360" w:lineRule="auto"/>
        <w:ind w:firstLine="480" w:firstLineChars="200"/>
        <w:rPr>
          <w:rFonts w:hint="eastAsia" w:ascii="宋体" w:hAnsi="宋体" w:cs="Times New Roman"/>
          <w:color w:val="auto"/>
          <w:szCs w:val="24"/>
          <w:highlight w:val="none"/>
          <w:lang w:eastAsia="zh-CN"/>
        </w:rPr>
      </w:pPr>
      <w:r>
        <w:rPr>
          <w:rFonts w:hint="eastAsia" w:ascii="宋体" w:hAnsi="宋体" w:cs="Times New Roman"/>
          <w:color w:val="auto"/>
          <w:szCs w:val="24"/>
          <w:highlight w:val="none"/>
          <w:lang w:val="en-US" w:eastAsia="zh-CN"/>
        </w:rPr>
        <w:t>2.</w:t>
      </w:r>
      <w:r>
        <w:rPr>
          <w:rFonts w:hint="eastAsia" w:ascii="宋体" w:hAnsi="宋体" w:cs="Times New Roman"/>
          <w:color w:val="auto"/>
          <w:szCs w:val="24"/>
          <w:highlight w:val="none"/>
          <w:lang w:eastAsia="zh-CN"/>
        </w:rPr>
        <w:t>有依法纳税的良好记录，须提供202</w:t>
      </w:r>
      <w:r>
        <w:rPr>
          <w:rFonts w:hint="eastAsia" w:ascii="宋体" w:hAnsi="宋体" w:cs="Times New Roman"/>
          <w:color w:val="auto"/>
          <w:szCs w:val="24"/>
          <w:highlight w:val="none"/>
          <w:lang w:val="en-US" w:eastAsia="zh-CN"/>
        </w:rPr>
        <w:t>6</w:t>
      </w:r>
      <w:r>
        <w:rPr>
          <w:rFonts w:hint="eastAsia" w:ascii="宋体" w:hAnsi="宋体" w:cs="Times New Roman"/>
          <w:color w:val="auto"/>
          <w:szCs w:val="24"/>
          <w:highlight w:val="none"/>
          <w:lang w:eastAsia="zh-CN"/>
        </w:rPr>
        <w:t>年至少1个月的依法纳税的相关证明材料（依法免缴的，应提供依法免缴的相关证明文件；新成立的供应商按实际的缴纳情况递交相关证明）。</w:t>
      </w:r>
    </w:p>
    <w:p w14:paraId="77C14A2C">
      <w:pPr>
        <w:spacing w:line="360" w:lineRule="auto"/>
        <w:ind w:firstLine="480" w:firstLineChars="200"/>
        <w:rPr>
          <w:rFonts w:hint="eastAsia" w:ascii="宋体" w:hAnsi="宋体" w:cs="Times New Roman"/>
          <w:color w:val="auto"/>
          <w:szCs w:val="24"/>
          <w:highlight w:val="none"/>
          <w:lang w:eastAsia="zh-CN"/>
        </w:rPr>
      </w:pPr>
      <w:r>
        <w:rPr>
          <w:rFonts w:hint="eastAsia" w:ascii="宋体" w:hAnsi="宋体" w:cs="Times New Roman"/>
          <w:color w:val="auto"/>
          <w:szCs w:val="24"/>
          <w:highlight w:val="none"/>
          <w:lang w:val="en-US" w:eastAsia="zh-CN"/>
        </w:rPr>
        <w:t>3.</w:t>
      </w:r>
      <w:r>
        <w:rPr>
          <w:rFonts w:hint="eastAsia" w:ascii="宋体" w:hAnsi="宋体" w:cs="Times New Roman"/>
          <w:color w:val="auto"/>
          <w:szCs w:val="24"/>
          <w:highlight w:val="none"/>
          <w:lang w:eastAsia="zh-CN"/>
        </w:rPr>
        <w:t>有依法缴纳社会保障资金的良好记录，须提供202</w:t>
      </w:r>
      <w:r>
        <w:rPr>
          <w:rFonts w:hint="eastAsia" w:ascii="宋体" w:hAnsi="宋体" w:cs="Times New Roman"/>
          <w:color w:val="auto"/>
          <w:szCs w:val="24"/>
          <w:highlight w:val="none"/>
          <w:lang w:val="en-US" w:eastAsia="zh-CN"/>
        </w:rPr>
        <w:t>6</w:t>
      </w:r>
      <w:r>
        <w:rPr>
          <w:rFonts w:hint="eastAsia" w:ascii="宋体" w:hAnsi="宋体" w:cs="Times New Roman"/>
          <w:color w:val="auto"/>
          <w:szCs w:val="24"/>
          <w:highlight w:val="none"/>
          <w:lang w:eastAsia="zh-CN"/>
        </w:rPr>
        <w:t>年至少1个月的依法缴纳社会保险费的相关证明材料（依法免缴的，应提供依法免缴的相关证明文件；新成立的供应商按实际的缴纳情况递交相关证明）。</w:t>
      </w:r>
    </w:p>
    <w:p w14:paraId="68FAD61B">
      <w:pPr>
        <w:spacing w:line="360" w:lineRule="auto"/>
        <w:ind w:firstLine="480" w:firstLineChars="200"/>
        <w:rPr>
          <w:rFonts w:hint="eastAsia" w:ascii="宋体" w:hAnsi="宋体" w:cs="Times New Roman"/>
          <w:color w:val="auto"/>
          <w:szCs w:val="24"/>
          <w:highlight w:val="none"/>
          <w:lang w:eastAsia="zh-CN"/>
        </w:rPr>
      </w:pPr>
      <w:r>
        <w:rPr>
          <w:rFonts w:hint="eastAsia" w:ascii="宋体" w:hAnsi="宋体" w:cs="Times New Roman"/>
          <w:color w:val="auto"/>
          <w:szCs w:val="24"/>
          <w:highlight w:val="none"/>
          <w:lang w:val="en-US" w:eastAsia="zh-CN"/>
        </w:rPr>
        <w:t>4.</w:t>
      </w:r>
      <w:r>
        <w:rPr>
          <w:rFonts w:hint="eastAsia" w:ascii="宋体" w:hAnsi="宋体" w:cs="Times New Roman"/>
          <w:color w:val="auto"/>
          <w:szCs w:val="24"/>
          <w:highlight w:val="none"/>
          <w:lang w:eastAsia="zh-CN"/>
        </w:rPr>
        <w:t>具有良好的商业信誉和健全的财务会计制度，须提供202</w:t>
      </w:r>
      <w:r>
        <w:rPr>
          <w:rFonts w:hint="eastAsia" w:ascii="宋体" w:hAnsi="宋体" w:cs="Times New Roman"/>
          <w:color w:val="auto"/>
          <w:szCs w:val="24"/>
          <w:highlight w:val="none"/>
          <w:lang w:val="en-US" w:eastAsia="zh-CN"/>
        </w:rPr>
        <w:t>5</w:t>
      </w:r>
      <w:r>
        <w:rPr>
          <w:rFonts w:hint="eastAsia" w:ascii="宋体" w:hAnsi="宋体" w:cs="Times New Roman"/>
          <w:color w:val="auto"/>
          <w:szCs w:val="24"/>
          <w:highlight w:val="none"/>
          <w:lang w:eastAsia="zh-CN"/>
        </w:rPr>
        <w:t>年度经第三方会计师事务所审计的企业财务报告或投标截止时间前6个月内银行出具的资信证明。</w:t>
      </w:r>
    </w:p>
    <w:p w14:paraId="0EB0E0AB">
      <w:pPr>
        <w:spacing w:line="360" w:lineRule="auto"/>
        <w:ind w:firstLine="480" w:firstLineChars="200"/>
        <w:rPr>
          <w:rFonts w:hint="eastAsia" w:ascii="宋体" w:hAnsi="宋体" w:cs="Times New Roman"/>
          <w:color w:val="auto"/>
          <w:szCs w:val="24"/>
          <w:highlight w:val="none"/>
          <w:lang w:eastAsia="zh-CN"/>
        </w:rPr>
      </w:pPr>
      <w:r>
        <w:rPr>
          <w:rFonts w:hint="eastAsia" w:ascii="宋体" w:hAnsi="宋体" w:cs="Times New Roman"/>
          <w:color w:val="auto"/>
          <w:szCs w:val="24"/>
          <w:highlight w:val="none"/>
          <w:lang w:val="en-US" w:eastAsia="zh-CN"/>
        </w:rPr>
        <w:t>5.</w:t>
      </w:r>
      <w:r>
        <w:rPr>
          <w:rFonts w:hint="eastAsia" w:ascii="宋体" w:hAnsi="宋体" w:cs="Times New Roman"/>
          <w:color w:val="auto"/>
          <w:szCs w:val="24"/>
          <w:highlight w:val="none"/>
          <w:lang w:eastAsia="zh-CN"/>
        </w:rPr>
        <w:t>投标截止日前三年参加政府采购活动，在经营活动中没有重大违法记录。提供书面声明函；（截至开标日成立不足3年的供应商可提供自成立以来无重大违法记录的书面声明）。</w:t>
      </w:r>
    </w:p>
    <w:p w14:paraId="7A14DC48">
      <w:pPr>
        <w:spacing w:line="360" w:lineRule="auto"/>
        <w:ind w:firstLine="480" w:firstLineChars="200"/>
        <w:rPr>
          <w:rFonts w:hint="eastAsia" w:ascii="宋体" w:hAnsi="宋体" w:cs="Times New Roman"/>
          <w:color w:val="auto"/>
          <w:szCs w:val="24"/>
          <w:highlight w:val="none"/>
          <w:lang w:eastAsia="zh-CN"/>
        </w:rPr>
      </w:pPr>
      <w:r>
        <w:rPr>
          <w:rFonts w:hint="eastAsia" w:ascii="宋体" w:hAnsi="宋体" w:cs="Times New Roman"/>
          <w:color w:val="auto"/>
          <w:szCs w:val="24"/>
          <w:highlight w:val="none"/>
          <w:lang w:val="en-US" w:eastAsia="zh-CN"/>
        </w:rPr>
        <w:t>6.供应商具有省级及以上建设行政主管部门核发的建设工程质量检测机构资质证书（综合类或主体结构及装饰装修），且在有效期内，提供资质证书复印件加盖公章。</w:t>
      </w:r>
    </w:p>
    <w:p w14:paraId="31D33F8B">
      <w:pPr>
        <w:spacing w:line="360" w:lineRule="auto"/>
        <w:ind w:firstLine="480" w:firstLineChars="200"/>
        <w:rPr>
          <w:rFonts w:hint="eastAsia" w:ascii="宋体" w:hAnsi="宋体" w:cs="Times New Roman"/>
          <w:color w:val="auto"/>
          <w:szCs w:val="24"/>
          <w:highlight w:val="none"/>
          <w:lang w:eastAsia="zh-CN"/>
        </w:rPr>
      </w:pPr>
      <w:r>
        <w:rPr>
          <w:rFonts w:hint="eastAsia" w:ascii="宋体" w:hAnsi="宋体" w:cs="Times New Roman"/>
          <w:color w:val="auto"/>
          <w:szCs w:val="24"/>
          <w:highlight w:val="none"/>
          <w:lang w:val="en-US" w:eastAsia="zh-CN"/>
        </w:rPr>
        <w:t>7.</w:t>
      </w:r>
      <w:r>
        <w:rPr>
          <w:rFonts w:hint="eastAsia" w:ascii="宋体" w:hAnsi="宋体" w:cs="Times New Roman"/>
          <w:color w:val="auto"/>
          <w:szCs w:val="24"/>
          <w:highlight w:val="none"/>
          <w:lang w:eastAsia="zh-CN"/>
        </w:rPr>
        <w:t>本项目不接受联合体参与协商。</w:t>
      </w:r>
    </w:p>
    <w:p w14:paraId="5680C38B">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eastAsia="zh-CN"/>
        </w:rPr>
        <w:t>四</w:t>
      </w:r>
      <w:r>
        <w:rPr>
          <w:rFonts w:hint="eastAsia" w:ascii="宋体" w:hAnsi="宋体" w:cs="Times New Roman"/>
          <w:color w:val="auto"/>
          <w:szCs w:val="24"/>
          <w:highlight w:val="none"/>
        </w:rPr>
        <w:t>、服务地点</w:t>
      </w:r>
    </w:p>
    <w:p w14:paraId="3ADFEEF2">
      <w:pPr>
        <w:spacing w:line="360" w:lineRule="auto"/>
        <w:ind w:firstLine="480" w:firstLineChars="200"/>
        <w:rPr>
          <w:rFonts w:hint="eastAsia" w:ascii="宋体" w:hAnsi="宋体" w:cs="Times New Roman"/>
          <w:color w:val="auto"/>
          <w:szCs w:val="24"/>
          <w:highlight w:val="none"/>
          <w:lang w:val="en-US" w:eastAsia="zh-CN"/>
        </w:rPr>
      </w:pPr>
      <w:r>
        <w:rPr>
          <w:rFonts w:hint="eastAsia" w:ascii="宋体" w:hAnsi="宋体" w:cs="Times New Roman"/>
          <w:color w:val="auto"/>
          <w:szCs w:val="24"/>
          <w:highlight w:val="none"/>
          <w:lang w:eastAsia="zh-CN"/>
        </w:rPr>
        <w:t>天津市滨海新区中医医院杭州道院区</w:t>
      </w:r>
      <w:r>
        <w:rPr>
          <w:rFonts w:hint="eastAsia" w:ascii="宋体" w:hAnsi="宋体" w:cs="Times New Roman"/>
          <w:color w:val="auto"/>
          <w:szCs w:val="24"/>
          <w:highlight w:val="none"/>
          <w:lang w:val="en-US" w:eastAsia="zh-CN"/>
        </w:rPr>
        <w:t>。</w:t>
      </w:r>
    </w:p>
    <w:p w14:paraId="0A73E99C">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eastAsia="zh-CN"/>
        </w:rPr>
        <w:t>五、</w:t>
      </w:r>
      <w:r>
        <w:rPr>
          <w:rFonts w:hint="eastAsia" w:ascii="宋体" w:hAnsi="宋体" w:cs="Times New Roman"/>
          <w:color w:val="auto"/>
          <w:szCs w:val="24"/>
          <w:highlight w:val="none"/>
        </w:rPr>
        <w:t>付款方式</w:t>
      </w:r>
    </w:p>
    <w:p w14:paraId="3553805C">
      <w:pPr>
        <w:spacing w:line="360" w:lineRule="auto"/>
        <w:ind w:firstLine="480" w:firstLineChars="200"/>
        <w:rPr>
          <w:rFonts w:hint="eastAsia" w:ascii="宋体" w:hAnsi="宋体" w:cs="Times New Roman"/>
          <w:color w:val="auto"/>
          <w:szCs w:val="24"/>
          <w:highlight w:val="none"/>
          <w:lang w:eastAsia="zh-CN"/>
        </w:rPr>
      </w:pPr>
      <w:r>
        <w:rPr>
          <w:rFonts w:hint="eastAsia" w:ascii="宋体" w:hAnsi="宋体" w:cs="Times New Roman"/>
          <w:color w:val="auto"/>
          <w:szCs w:val="24"/>
          <w:highlight w:val="none"/>
          <w:lang w:eastAsia="zh-CN"/>
        </w:rPr>
        <w:t>待完成全部鉴定工作并出具完整且正式的鉴定报告后，甲方凭乙方提供的正式发票一次性支付。</w:t>
      </w:r>
    </w:p>
    <w:p w14:paraId="1451EC40">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val="en-US" w:eastAsia="zh-CN"/>
        </w:rPr>
        <w:t>六、服务内容</w:t>
      </w:r>
    </w:p>
    <w:p w14:paraId="1B5B9A96">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本项目包含</w:t>
      </w:r>
      <w:r>
        <w:rPr>
          <w:rFonts w:hint="eastAsia" w:ascii="宋体" w:hAnsi="宋体" w:cs="Times New Roman"/>
          <w:color w:val="auto"/>
          <w:szCs w:val="24"/>
          <w:highlight w:val="none"/>
          <w:lang w:val="en-US" w:eastAsia="zh-CN"/>
        </w:rPr>
        <w:t>天津市滨海新区中医医院杭州道院区门诊楼、住院楼（AE楼）共计两个建筑单体及中间连廊部分</w:t>
      </w:r>
      <w:r>
        <w:rPr>
          <w:rFonts w:hint="eastAsia" w:ascii="宋体" w:hAnsi="宋体" w:cs="Times New Roman"/>
          <w:color w:val="auto"/>
          <w:szCs w:val="24"/>
          <w:highlight w:val="none"/>
        </w:rPr>
        <w:t>，</w:t>
      </w:r>
      <w:r>
        <w:rPr>
          <w:rFonts w:hint="eastAsia" w:ascii="宋体" w:hAnsi="宋体" w:cs="Times New Roman"/>
          <w:color w:val="auto"/>
          <w:szCs w:val="24"/>
          <w:highlight w:val="none"/>
          <w:lang w:val="en-US" w:eastAsia="zh-CN"/>
        </w:rPr>
        <w:t>总建筑面积12679.2㎡。</w:t>
      </w:r>
      <w:r>
        <w:rPr>
          <w:rFonts w:hint="eastAsia" w:ascii="宋体" w:hAnsi="宋体" w:cs="Times New Roman"/>
          <w:color w:val="auto"/>
          <w:szCs w:val="24"/>
          <w:highlight w:val="none"/>
        </w:rPr>
        <w:t>需完成本项目所有单体主体结构现状安全性鉴定服务，单体建筑信息见下表。</w:t>
      </w:r>
    </w:p>
    <w:tbl>
      <w:tblPr>
        <w:tblStyle w:val="3"/>
        <w:tblW w:w="8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1791"/>
        <w:gridCol w:w="1833"/>
        <w:gridCol w:w="1998"/>
        <w:gridCol w:w="2048"/>
      </w:tblGrid>
      <w:tr w14:paraId="3AC0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28" w:type="dxa"/>
            <w:noWrap w:val="0"/>
            <w:vAlign w:val="center"/>
          </w:tcPr>
          <w:p w14:paraId="0EC86F3E">
            <w:pPr>
              <w:spacing w:line="360" w:lineRule="auto"/>
              <w:jc w:val="center"/>
              <w:rPr>
                <w:rFonts w:hint="eastAsia" w:ascii="宋体" w:hAnsi="宋体" w:cs="Times New Roman"/>
                <w:color w:val="auto"/>
                <w:szCs w:val="24"/>
                <w:highlight w:val="none"/>
              </w:rPr>
            </w:pPr>
            <w:r>
              <w:rPr>
                <w:rFonts w:hint="eastAsia" w:ascii="宋体" w:hAnsi="宋体" w:cs="Times New Roman"/>
                <w:color w:val="auto"/>
                <w:szCs w:val="24"/>
                <w:highlight w:val="none"/>
              </w:rPr>
              <w:t>序号</w:t>
            </w:r>
          </w:p>
        </w:tc>
        <w:tc>
          <w:tcPr>
            <w:tcW w:w="1791" w:type="dxa"/>
            <w:noWrap w:val="0"/>
            <w:vAlign w:val="center"/>
          </w:tcPr>
          <w:p w14:paraId="744718CC">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单体名称</w:t>
            </w:r>
          </w:p>
        </w:tc>
        <w:tc>
          <w:tcPr>
            <w:tcW w:w="1833" w:type="dxa"/>
            <w:noWrap w:val="0"/>
            <w:vAlign w:val="center"/>
          </w:tcPr>
          <w:p w14:paraId="58D174A3">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结构类型</w:t>
            </w:r>
          </w:p>
        </w:tc>
        <w:tc>
          <w:tcPr>
            <w:tcW w:w="1998" w:type="dxa"/>
            <w:noWrap w:val="0"/>
            <w:vAlign w:val="center"/>
          </w:tcPr>
          <w:p w14:paraId="491B9996">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建筑层数</w:t>
            </w:r>
          </w:p>
        </w:tc>
        <w:tc>
          <w:tcPr>
            <w:tcW w:w="2048" w:type="dxa"/>
            <w:noWrap w:val="0"/>
            <w:vAlign w:val="center"/>
          </w:tcPr>
          <w:p w14:paraId="501575C2">
            <w:pPr>
              <w:spacing w:line="360" w:lineRule="auto"/>
              <w:jc w:val="center"/>
              <w:rPr>
                <w:rFonts w:hint="eastAsia" w:ascii="宋体" w:hAnsi="宋体" w:cs="Times New Roman"/>
                <w:color w:val="auto"/>
                <w:szCs w:val="24"/>
                <w:highlight w:val="none"/>
              </w:rPr>
            </w:pPr>
            <w:r>
              <w:rPr>
                <w:rFonts w:hint="eastAsia" w:ascii="宋体" w:hAnsi="宋体" w:cs="Times New Roman"/>
                <w:color w:val="auto"/>
                <w:szCs w:val="24"/>
                <w:highlight w:val="none"/>
              </w:rPr>
              <w:t>建筑面积（㎡）</w:t>
            </w:r>
          </w:p>
        </w:tc>
      </w:tr>
      <w:tr w14:paraId="6D5E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28" w:type="dxa"/>
            <w:noWrap w:val="0"/>
            <w:vAlign w:val="center"/>
          </w:tcPr>
          <w:p w14:paraId="43F86732">
            <w:pPr>
              <w:spacing w:line="360" w:lineRule="auto"/>
              <w:jc w:val="center"/>
              <w:rPr>
                <w:rFonts w:hint="eastAsia" w:ascii="宋体" w:hAnsi="宋体" w:cs="Times New Roman"/>
                <w:color w:val="auto"/>
                <w:szCs w:val="24"/>
                <w:highlight w:val="none"/>
              </w:rPr>
            </w:pPr>
            <w:r>
              <w:rPr>
                <w:rFonts w:hint="eastAsia" w:ascii="宋体" w:hAnsi="宋体" w:cs="Times New Roman"/>
                <w:color w:val="auto"/>
                <w:szCs w:val="24"/>
                <w:highlight w:val="none"/>
              </w:rPr>
              <w:t>1</w:t>
            </w:r>
          </w:p>
        </w:tc>
        <w:tc>
          <w:tcPr>
            <w:tcW w:w="1791" w:type="dxa"/>
            <w:noWrap w:val="0"/>
            <w:vAlign w:val="center"/>
          </w:tcPr>
          <w:p w14:paraId="0819D9D4">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val="en-US" w:eastAsia="zh-CN"/>
              </w:rPr>
              <w:t>门诊楼</w:t>
            </w:r>
          </w:p>
        </w:tc>
        <w:tc>
          <w:tcPr>
            <w:tcW w:w="1833" w:type="dxa"/>
            <w:noWrap w:val="0"/>
            <w:vAlign w:val="center"/>
          </w:tcPr>
          <w:p w14:paraId="227B5CC5">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val="en-US" w:eastAsia="zh-CN"/>
              </w:rPr>
              <w:t>框架结构</w:t>
            </w:r>
          </w:p>
        </w:tc>
        <w:tc>
          <w:tcPr>
            <w:tcW w:w="1998" w:type="dxa"/>
            <w:noWrap w:val="0"/>
            <w:vAlign w:val="center"/>
          </w:tcPr>
          <w:p w14:paraId="03331B47">
            <w:pPr>
              <w:spacing w:line="360" w:lineRule="auto"/>
              <w:ind w:firstLine="480" w:firstLineChars="200"/>
              <w:rPr>
                <w:rFonts w:hint="eastAsia" w:ascii="宋体" w:hAnsi="宋体" w:cs="Times New Roman"/>
                <w:color w:val="auto"/>
                <w:szCs w:val="24"/>
                <w:highlight w:val="none"/>
                <w:lang w:val="en-US" w:eastAsia="zh-CN"/>
              </w:rPr>
            </w:pPr>
            <w:r>
              <w:rPr>
                <w:rFonts w:hint="eastAsia" w:ascii="宋体" w:hAnsi="宋体" w:cs="Times New Roman"/>
                <w:color w:val="auto"/>
                <w:szCs w:val="24"/>
                <w:highlight w:val="none"/>
                <w:lang w:val="en-US" w:eastAsia="zh-CN"/>
              </w:rPr>
              <w:t>地上3层</w:t>
            </w:r>
          </w:p>
          <w:p w14:paraId="7547203F">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val="en-US" w:eastAsia="zh-CN"/>
              </w:rPr>
              <w:t>地下1层</w:t>
            </w:r>
          </w:p>
        </w:tc>
        <w:tc>
          <w:tcPr>
            <w:tcW w:w="2048" w:type="dxa"/>
            <w:noWrap w:val="0"/>
            <w:vAlign w:val="center"/>
          </w:tcPr>
          <w:p w14:paraId="3F86D21B">
            <w:pPr>
              <w:spacing w:line="360" w:lineRule="auto"/>
              <w:ind w:firstLine="480" w:firstLineChars="200"/>
              <w:jc w:val="left"/>
              <w:rPr>
                <w:rFonts w:hint="eastAsia" w:ascii="宋体" w:hAnsi="宋体" w:cs="Times New Roman"/>
                <w:color w:val="auto"/>
                <w:szCs w:val="24"/>
                <w:highlight w:val="none"/>
                <w:lang w:val="en-US"/>
              </w:rPr>
            </w:pPr>
            <w:r>
              <w:rPr>
                <w:rFonts w:hint="eastAsia" w:ascii="宋体" w:hAnsi="宋体" w:cs="Times New Roman"/>
                <w:color w:val="auto"/>
                <w:szCs w:val="24"/>
                <w:highlight w:val="none"/>
                <w:lang w:val="en-US" w:eastAsia="zh-CN"/>
              </w:rPr>
              <w:t>8167.38</w:t>
            </w:r>
          </w:p>
        </w:tc>
      </w:tr>
      <w:tr w14:paraId="4EF4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928" w:type="dxa"/>
            <w:noWrap w:val="0"/>
            <w:vAlign w:val="center"/>
          </w:tcPr>
          <w:p w14:paraId="2969C37B">
            <w:pPr>
              <w:spacing w:line="360" w:lineRule="auto"/>
              <w:jc w:val="center"/>
              <w:rPr>
                <w:rFonts w:hint="eastAsia" w:ascii="宋体" w:hAnsi="宋体" w:cs="Times New Roman"/>
                <w:color w:val="auto"/>
                <w:szCs w:val="24"/>
                <w:highlight w:val="none"/>
              </w:rPr>
            </w:pPr>
            <w:r>
              <w:rPr>
                <w:rFonts w:hint="eastAsia" w:ascii="宋体" w:hAnsi="宋体" w:cs="Times New Roman"/>
                <w:color w:val="auto"/>
                <w:szCs w:val="24"/>
                <w:highlight w:val="none"/>
              </w:rPr>
              <w:t>2</w:t>
            </w:r>
          </w:p>
        </w:tc>
        <w:tc>
          <w:tcPr>
            <w:tcW w:w="1791" w:type="dxa"/>
            <w:noWrap w:val="0"/>
            <w:vAlign w:val="center"/>
          </w:tcPr>
          <w:p w14:paraId="2A4EDD05">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val="en-US" w:eastAsia="zh-CN"/>
              </w:rPr>
              <w:t>住院楼</w:t>
            </w:r>
          </w:p>
        </w:tc>
        <w:tc>
          <w:tcPr>
            <w:tcW w:w="1833" w:type="dxa"/>
            <w:noWrap w:val="0"/>
            <w:vAlign w:val="center"/>
          </w:tcPr>
          <w:p w14:paraId="4E395CA7">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val="en-US" w:eastAsia="zh-CN"/>
              </w:rPr>
              <w:t>框架结构</w:t>
            </w:r>
          </w:p>
        </w:tc>
        <w:tc>
          <w:tcPr>
            <w:tcW w:w="1998" w:type="dxa"/>
            <w:noWrap w:val="0"/>
            <w:vAlign w:val="center"/>
          </w:tcPr>
          <w:p w14:paraId="21E9AE89">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val="en-US" w:eastAsia="zh-CN"/>
              </w:rPr>
              <w:t>地上5层</w:t>
            </w:r>
          </w:p>
        </w:tc>
        <w:tc>
          <w:tcPr>
            <w:tcW w:w="2048" w:type="dxa"/>
            <w:noWrap w:val="0"/>
            <w:vAlign w:val="center"/>
          </w:tcPr>
          <w:p w14:paraId="07D0D125">
            <w:pPr>
              <w:spacing w:line="360" w:lineRule="auto"/>
              <w:ind w:firstLine="480" w:firstLineChars="200"/>
              <w:jc w:val="left"/>
              <w:rPr>
                <w:rFonts w:hint="eastAsia" w:ascii="宋体" w:hAnsi="宋体" w:cs="Times New Roman"/>
                <w:color w:val="auto"/>
                <w:szCs w:val="24"/>
                <w:highlight w:val="none"/>
                <w:lang w:val="en-US"/>
              </w:rPr>
            </w:pPr>
            <w:r>
              <w:rPr>
                <w:rFonts w:hint="eastAsia" w:ascii="宋体" w:hAnsi="宋体" w:cs="Times New Roman"/>
                <w:color w:val="auto"/>
                <w:szCs w:val="24"/>
                <w:highlight w:val="none"/>
                <w:lang w:val="en-US" w:eastAsia="zh-CN"/>
              </w:rPr>
              <w:t>4511.82</w:t>
            </w:r>
          </w:p>
        </w:tc>
      </w:tr>
    </w:tbl>
    <w:p w14:paraId="456ABE96">
      <w:pPr>
        <w:spacing w:line="360" w:lineRule="auto"/>
        <w:ind w:firstLine="480" w:firstLineChars="200"/>
        <w:rPr>
          <w:rFonts w:hint="eastAsia" w:ascii="宋体" w:hAnsi="宋体" w:cs="Times New Roman"/>
          <w:color w:val="auto"/>
          <w:szCs w:val="24"/>
          <w:highlight w:val="none"/>
          <w:lang w:val="en-US" w:eastAsia="zh-CN"/>
        </w:rPr>
      </w:pPr>
    </w:p>
    <w:p w14:paraId="63E831A1">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val="en-US" w:eastAsia="zh-CN"/>
        </w:rPr>
        <w:t>1.</w:t>
      </w:r>
      <w:r>
        <w:rPr>
          <w:rFonts w:hint="eastAsia" w:ascii="宋体" w:hAnsi="宋体" w:cs="Times New Roman"/>
          <w:color w:val="auto"/>
          <w:szCs w:val="24"/>
          <w:highlight w:val="none"/>
          <w:lang w:eastAsia="zh-CN"/>
        </w:rPr>
        <w:t>通过现场鉴定检测查勘，对上述建筑现状的主体结构进行现状安全性鉴定，给出建筑物安全性鉴定评级；对建筑后续使用情况提出建议措施。</w:t>
      </w:r>
      <w:r>
        <w:rPr>
          <w:rFonts w:hint="eastAsia" w:ascii="宋体" w:hAnsi="宋体" w:cs="Times New Roman"/>
          <w:color w:val="auto"/>
          <w:szCs w:val="24"/>
          <w:highlight w:val="none"/>
        </w:rPr>
        <w:t>按照现场实际结构布置、构造及荷载变化情况确定结构上的荷载种类和大小，并与原设计进行核对</w:t>
      </w:r>
      <w:r>
        <w:rPr>
          <w:rFonts w:hint="eastAsia" w:ascii="宋体" w:hAnsi="宋体" w:cs="Times New Roman"/>
          <w:color w:val="auto"/>
          <w:szCs w:val="24"/>
          <w:highlight w:val="none"/>
          <w:lang w:eastAsia="zh-CN"/>
        </w:rPr>
        <w:t>，对</w:t>
      </w:r>
      <w:r>
        <w:rPr>
          <w:rFonts w:hint="eastAsia" w:ascii="宋体" w:hAnsi="宋体" w:cs="Times New Roman"/>
          <w:color w:val="auto"/>
          <w:szCs w:val="24"/>
          <w:highlight w:val="none"/>
        </w:rPr>
        <w:t>不相符的部位进行详细记录。对未能提供原设计图纸区域，结合房屋现状，了解房屋各部位使用功能后，按现行国家标准规范《建筑结构荷载规范》确定目前使用荷载。</w:t>
      </w:r>
    </w:p>
    <w:p w14:paraId="248B5A8F">
      <w:pPr>
        <w:spacing w:line="360" w:lineRule="auto"/>
        <w:ind w:firstLine="480" w:firstLineChars="200"/>
        <w:rPr>
          <w:rFonts w:hint="eastAsia" w:ascii="宋体" w:hAnsi="宋体" w:cs="Times New Roman"/>
          <w:color w:val="auto"/>
          <w:szCs w:val="24"/>
          <w:highlight w:val="none"/>
          <w:lang w:eastAsia="zh-CN"/>
        </w:rPr>
      </w:pPr>
      <w:r>
        <w:rPr>
          <w:rFonts w:hint="eastAsia" w:ascii="宋体" w:hAnsi="宋体" w:cs="Times New Roman"/>
          <w:color w:val="auto"/>
          <w:szCs w:val="24"/>
          <w:highlight w:val="none"/>
          <w:lang w:val="en-US" w:eastAsia="zh-CN"/>
        </w:rPr>
        <w:t>2.</w:t>
      </w:r>
      <w:r>
        <w:rPr>
          <w:rFonts w:hint="eastAsia" w:ascii="宋体" w:hAnsi="宋体" w:cs="Times New Roman"/>
          <w:color w:val="auto"/>
          <w:szCs w:val="24"/>
          <w:highlight w:val="none"/>
        </w:rPr>
        <w:t>鉴定内容</w:t>
      </w:r>
    </w:p>
    <w:tbl>
      <w:tblPr>
        <w:tblStyle w:val="2"/>
        <w:tblW w:w="922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85" w:type="dxa"/>
          <w:left w:w="85" w:type="dxa"/>
          <w:bottom w:w="0" w:type="dxa"/>
          <w:right w:w="0" w:type="dxa"/>
        </w:tblCellMar>
      </w:tblPr>
      <w:tblGrid>
        <w:gridCol w:w="772"/>
        <w:gridCol w:w="1585"/>
        <w:gridCol w:w="6869"/>
      </w:tblGrid>
      <w:tr w14:paraId="7A4E87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85" w:type="dxa"/>
            <w:left w:w="85" w:type="dxa"/>
            <w:bottom w:w="0" w:type="dxa"/>
            <w:right w:w="0" w:type="dxa"/>
          </w:tblCellMar>
        </w:tblPrEx>
        <w:trPr>
          <w:trHeight w:val="443" w:hRule="atLeast"/>
          <w:jc w:val="center"/>
        </w:trPr>
        <w:tc>
          <w:tcPr>
            <w:tcW w:w="772" w:type="dxa"/>
            <w:tcBorders>
              <w:top w:val="single" w:color="auto" w:sz="4" w:space="0"/>
              <w:left w:val="single" w:color="auto" w:sz="4" w:space="0"/>
              <w:bottom w:val="single" w:color="auto" w:sz="4" w:space="0"/>
              <w:right w:val="single" w:color="auto" w:sz="4" w:space="0"/>
              <w:tl2br w:val="nil"/>
              <w:tr2bl w:val="nil"/>
            </w:tcBorders>
            <w:noWrap/>
            <w:tcMar>
              <w:top w:w="12" w:type="dxa"/>
              <w:left w:w="12" w:type="dxa"/>
              <w:right w:w="12" w:type="dxa"/>
            </w:tcMar>
            <w:vAlign w:val="center"/>
          </w:tcPr>
          <w:p w14:paraId="02A30CD6">
            <w:pPr>
              <w:spacing w:line="360" w:lineRule="auto"/>
              <w:jc w:val="center"/>
              <w:rPr>
                <w:rFonts w:hint="eastAsia" w:ascii="宋体" w:hAnsi="宋体" w:cs="Times New Roman"/>
                <w:color w:val="auto"/>
                <w:szCs w:val="24"/>
                <w:highlight w:val="none"/>
              </w:rPr>
            </w:pPr>
            <w:r>
              <w:rPr>
                <w:rFonts w:hint="eastAsia" w:ascii="宋体" w:hAnsi="宋体" w:cs="Times New Roman"/>
                <w:color w:val="auto"/>
                <w:szCs w:val="24"/>
                <w:highlight w:val="none"/>
              </w:rPr>
              <w:t>序号</w:t>
            </w:r>
          </w:p>
        </w:tc>
        <w:tc>
          <w:tcPr>
            <w:tcW w:w="1585"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0DA347CF">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名称</w:t>
            </w:r>
          </w:p>
        </w:tc>
        <w:tc>
          <w:tcPr>
            <w:tcW w:w="6869"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732D61C6">
            <w:pPr>
              <w:spacing w:line="360" w:lineRule="auto"/>
              <w:ind w:firstLine="480" w:firstLineChars="200"/>
              <w:jc w:val="center"/>
              <w:rPr>
                <w:rFonts w:hint="eastAsia" w:ascii="宋体" w:hAnsi="宋体" w:cs="Times New Roman"/>
                <w:color w:val="auto"/>
                <w:szCs w:val="24"/>
                <w:highlight w:val="none"/>
              </w:rPr>
            </w:pPr>
            <w:r>
              <w:rPr>
                <w:rFonts w:hint="eastAsia" w:ascii="宋体" w:hAnsi="宋体" w:cs="Times New Roman"/>
                <w:color w:val="auto"/>
                <w:szCs w:val="24"/>
                <w:highlight w:val="none"/>
              </w:rPr>
              <w:t>鉴定内容</w:t>
            </w:r>
          </w:p>
        </w:tc>
      </w:tr>
      <w:tr w14:paraId="7D3ADE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85" w:type="dxa"/>
            <w:left w:w="85" w:type="dxa"/>
            <w:bottom w:w="0" w:type="dxa"/>
            <w:right w:w="0" w:type="dxa"/>
          </w:tblCellMar>
        </w:tblPrEx>
        <w:trPr>
          <w:trHeight w:val="845" w:hRule="atLeast"/>
          <w:jc w:val="center"/>
        </w:trPr>
        <w:tc>
          <w:tcPr>
            <w:tcW w:w="772" w:type="dxa"/>
            <w:tcBorders>
              <w:top w:val="single" w:color="auto" w:sz="4" w:space="0"/>
              <w:left w:val="single" w:color="auto" w:sz="4" w:space="0"/>
              <w:bottom w:val="single" w:color="auto" w:sz="4" w:space="0"/>
              <w:right w:val="single" w:color="auto" w:sz="4" w:space="0"/>
              <w:tl2br w:val="nil"/>
              <w:tr2bl w:val="nil"/>
            </w:tcBorders>
            <w:noWrap/>
            <w:tcMar>
              <w:top w:w="12" w:type="dxa"/>
              <w:left w:w="12" w:type="dxa"/>
              <w:right w:w="12" w:type="dxa"/>
            </w:tcMar>
            <w:vAlign w:val="center"/>
          </w:tcPr>
          <w:p w14:paraId="33D4824B">
            <w:pPr>
              <w:spacing w:line="360" w:lineRule="auto"/>
              <w:jc w:val="center"/>
              <w:rPr>
                <w:rFonts w:hint="eastAsia" w:ascii="宋体" w:hAnsi="宋体" w:cs="Times New Roman"/>
                <w:color w:val="auto"/>
                <w:szCs w:val="24"/>
                <w:highlight w:val="none"/>
              </w:rPr>
            </w:pPr>
            <w:r>
              <w:rPr>
                <w:rFonts w:hint="eastAsia" w:ascii="宋体" w:hAnsi="宋体" w:cs="Times New Roman"/>
                <w:color w:val="auto"/>
                <w:szCs w:val="24"/>
                <w:highlight w:val="none"/>
              </w:rPr>
              <w:t>1</w:t>
            </w:r>
          </w:p>
        </w:tc>
        <w:tc>
          <w:tcPr>
            <w:tcW w:w="1585"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4B26ADD6">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地基</w:t>
            </w:r>
          </w:p>
          <w:p w14:paraId="7C0BF481">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基础</w:t>
            </w:r>
          </w:p>
        </w:tc>
        <w:tc>
          <w:tcPr>
            <w:tcW w:w="6869"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068D73B9">
            <w:pPr>
              <w:spacing w:line="360" w:lineRule="auto"/>
              <w:rPr>
                <w:rFonts w:hint="eastAsia" w:ascii="宋体" w:hAnsi="宋体" w:cs="Times New Roman"/>
                <w:color w:val="auto"/>
                <w:szCs w:val="24"/>
                <w:highlight w:val="none"/>
              </w:rPr>
            </w:pPr>
            <w:r>
              <w:rPr>
                <w:rFonts w:hint="eastAsia" w:ascii="宋体" w:hAnsi="宋体" w:cs="Times New Roman"/>
                <w:color w:val="auto"/>
                <w:szCs w:val="24"/>
                <w:highlight w:val="none"/>
              </w:rPr>
              <w:t>1.检查是否存在基础不均匀沉降引起的地面裂缝或沉降变形；</w:t>
            </w:r>
          </w:p>
          <w:p w14:paraId="6533E33A">
            <w:pPr>
              <w:spacing w:line="360" w:lineRule="auto"/>
              <w:rPr>
                <w:rFonts w:hint="eastAsia" w:ascii="宋体" w:hAnsi="宋体" w:cs="Times New Roman"/>
                <w:color w:val="auto"/>
                <w:szCs w:val="24"/>
                <w:highlight w:val="none"/>
              </w:rPr>
            </w:pPr>
            <w:r>
              <w:rPr>
                <w:rFonts w:hint="eastAsia" w:ascii="宋体" w:hAnsi="宋体" w:cs="Times New Roman"/>
                <w:color w:val="auto"/>
                <w:szCs w:val="24"/>
                <w:highlight w:val="none"/>
              </w:rPr>
              <w:t>2.通过上部主体和围护结构的损伤情况判断地基基础是否存在不均匀沉降；</w:t>
            </w:r>
          </w:p>
        </w:tc>
      </w:tr>
      <w:tr w14:paraId="2B7F5D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85" w:type="dxa"/>
            <w:left w:w="85" w:type="dxa"/>
            <w:bottom w:w="0" w:type="dxa"/>
            <w:right w:w="0" w:type="dxa"/>
          </w:tblCellMar>
        </w:tblPrEx>
        <w:trPr>
          <w:trHeight w:val="2505" w:hRule="atLeast"/>
          <w:jc w:val="center"/>
        </w:trPr>
        <w:tc>
          <w:tcPr>
            <w:tcW w:w="772" w:type="dxa"/>
            <w:tcBorders>
              <w:top w:val="single" w:color="auto" w:sz="4" w:space="0"/>
              <w:left w:val="single" w:color="auto" w:sz="4" w:space="0"/>
              <w:bottom w:val="single" w:color="auto" w:sz="4" w:space="0"/>
              <w:right w:val="single" w:color="auto" w:sz="4" w:space="0"/>
              <w:tl2br w:val="nil"/>
              <w:tr2bl w:val="nil"/>
            </w:tcBorders>
            <w:noWrap/>
            <w:tcMar>
              <w:top w:w="12" w:type="dxa"/>
              <w:left w:w="12" w:type="dxa"/>
              <w:right w:w="12" w:type="dxa"/>
            </w:tcMar>
            <w:vAlign w:val="center"/>
          </w:tcPr>
          <w:p w14:paraId="766C0ADA">
            <w:pPr>
              <w:spacing w:line="360" w:lineRule="auto"/>
              <w:jc w:val="center"/>
              <w:rPr>
                <w:rFonts w:hint="eastAsia" w:ascii="宋体" w:hAnsi="宋体" w:cs="Times New Roman"/>
                <w:color w:val="auto"/>
                <w:szCs w:val="24"/>
                <w:highlight w:val="none"/>
              </w:rPr>
            </w:pPr>
            <w:r>
              <w:rPr>
                <w:rFonts w:hint="eastAsia" w:ascii="宋体" w:hAnsi="宋体" w:cs="Times New Roman"/>
                <w:color w:val="auto"/>
                <w:szCs w:val="24"/>
                <w:highlight w:val="none"/>
              </w:rPr>
              <w:t>2</w:t>
            </w:r>
          </w:p>
        </w:tc>
        <w:tc>
          <w:tcPr>
            <w:tcW w:w="1585"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3E00E147">
            <w:pPr>
              <w:spacing w:line="360" w:lineRule="auto"/>
              <w:jc w:val="center"/>
              <w:rPr>
                <w:rFonts w:hint="eastAsia" w:ascii="宋体" w:hAnsi="宋体" w:cs="Times New Roman"/>
                <w:color w:val="auto"/>
                <w:szCs w:val="24"/>
                <w:highlight w:val="none"/>
              </w:rPr>
            </w:pPr>
            <w:r>
              <w:rPr>
                <w:rFonts w:hint="eastAsia" w:ascii="宋体" w:hAnsi="宋体" w:cs="Times New Roman"/>
                <w:color w:val="auto"/>
                <w:szCs w:val="24"/>
                <w:highlight w:val="none"/>
              </w:rPr>
              <w:t>结构构件</w:t>
            </w:r>
          </w:p>
        </w:tc>
        <w:tc>
          <w:tcPr>
            <w:tcW w:w="6869"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2728893F">
            <w:pPr>
              <w:spacing w:line="360" w:lineRule="auto"/>
              <w:rPr>
                <w:rFonts w:hint="eastAsia" w:ascii="宋体" w:hAnsi="宋体" w:cs="Times New Roman"/>
                <w:color w:val="auto"/>
                <w:szCs w:val="24"/>
                <w:highlight w:val="none"/>
              </w:rPr>
            </w:pPr>
            <w:r>
              <w:rPr>
                <w:rFonts w:hint="eastAsia" w:ascii="宋体" w:hAnsi="宋体" w:cs="Times New Roman"/>
                <w:color w:val="auto"/>
                <w:szCs w:val="24"/>
                <w:highlight w:val="none"/>
              </w:rPr>
              <w:t>对建筑物中混凝土梁、板、柱构件，进行如下检查及检测：</w:t>
            </w:r>
          </w:p>
          <w:p w14:paraId="56C03D63">
            <w:pPr>
              <w:spacing w:line="360" w:lineRule="auto"/>
              <w:rPr>
                <w:rFonts w:hint="eastAsia" w:ascii="宋体" w:hAnsi="宋体" w:cs="Times New Roman"/>
                <w:color w:val="auto"/>
                <w:szCs w:val="24"/>
                <w:highlight w:val="none"/>
              </w:rPr>
            </w:pPr>
            <w:r>
              <w:rPr>
                <w:rFonts w:hint="eastAsia" w:ascii="宋体" w:hAnsi="宋体" w:cs="Times New Roman"/>
                <w:color w:val="auto"/>
                <w:szCs w:val="24"/>
                <w:highlight w:val="none"/>
              </w:rPr>
              <w:t>1.构件截面尺寸及外观质量检查；</w:t>
            </w:r>
          </w:p>
          <w:p w14:paraId="233DB4EB">
            <w:pPr>
              <w:spacing w:line="360" w:lineRule="auto"/>
              <w:rPr>
                <w:rFonts w:hint="eastAsia" w:ascii="宋体" w:hAnsi="宋体" w:cs="Times New Roman"/>
                <w:color w:val="auto"/>
                <w:szCs w:val="24"/>
                <w:highlight w:val="none"/>
              </w:rPr>
            </w:pPr>
            <w:r>
              <w:rPr>
                <w:rFonts w:hint="eastAsia" w:ascii="宋体" w:hAnsi="宋体" w:cs="Times New Roman"/>
                <w:color w:val="auto"/>
                <w:szCs w:val="24"/>
                <w:highlight w:val="none"/>
              </w:rPr>
              <w:t>2.混凝土强度抽测；</w:t>
            </w:r>
          </w:p>
          <w:p w14:paraId="57ECF256">
            <w:pPr>
              <w:spacing w:line="360" w:lineRule="auto"/>
              <w:rPr>
                <w:rFonts w:hint="eastAsia" w:ascii="宋体" w:hAnsi="宋体" w:cs="Times New Roman"/>
                <w:color w:val="auto"/>
                <w:szCs w:val="24"/>
                <w:highlight w:val="none"/>
              </w:rPr>
            </w:pPr>
            <w:r>
              <w:rPr>
                <w:rFonts w:hint="eastAsia" w:ascii="宋体" w:hAnsi="宋体" w:cs="Times New Roman"/>
                <w:color w:val="auto"/>
                <w:szCs w:val="24"/>
                <w:highlight w:val="none"/>
              </w:rPr>
              <w:t>3.钢筋数量、钢筋间距抽测；</w:t>
            </w:r>
          </w:p>
          <w:p w14:paraId="1381E806">
            <w:pPr>
              <w:spacing w:line="360" w:lineRule="auto"/>
              <w:rPr>
                <w:rFonts w:hint="eastAsia" w:ascii="宋体" w:hAnsi="宋体" w:cs="Times New Roman"/>
                <w:color w:val="auto"/>
                <w:szCs w:val="24"/>
                <w:highlight w:val="none"/>
              </w:rPr>
            </w:pPr>
            <w:r>
              <w:rPr>
                <w:rFonts w:hint="eastAsia" w:ascii="宋体" w:hAnsi="宋体" w:cs="Times New Roman"/>
                <w:color w:val="auto"/>
                <w:szCs w:val="24"/>
                <w:highlight w:val="none"/>
              </w:rPr>
              <w:t>4.外观损伤检查（裂缝、变形、腐蚀或钢筋锈蚀等）并作详细记录；</w:t>
            </w:r>
          </w:p>
          <w:p w14:paraId="58606A14">
            <w:pPr>
              <w:spacing w:line="360" w:lineRule="auto"/>
              <w:rPr>
                <w:rFonts w:hint="eastAsia" w:ascii="宋体" w:hAnsi="宋体" w:cs="Times New Roman"/>
                <w:color w:val="auto"/>
                <w:szCs w:val="24"/>
                <w:highlight w:val="none"/>
              </w:rPr>
            </w:pPr>
            <w:r>
              <w:rPr>
                <w:rFonts w:hint="eastAsia" w:ascii="宋体" w:hAnsi="宋体" w:cs="Times New Roman"/>
                <w:color w:val="auto"/>
                <w:szCs w:val="24"/>
                <w:highlight w:val="none"/>
                <w:lang w:val="en-US" w:eastAsia="zh-CN"/>
              </w:rPr>
              <w:t>5</w:t>
            </w:r>
            <w:r>
              <w:rPr>
                <w:rFonts w:hint="eastAsia" w:ascii="宋体" w:hAnsi="宋体" w:cs="Times New Roman"/>
                <w:color w:val="auto"/>
                <w:szCs w:val="24"/>
                <w:highlight w:val="none"/>
              </w:rPr>
              <w:t>.构件节点及连接情况检查；</w:t>
            </w:r>
          </w:p>
        </w:tc>
      </w:tr>
      <w:tr w14:paraId="5B1007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85" w:type="dxa"/>
            <w:left w:w="85" w:type="dxa"/>
            <w:bottom w:w="0" w:type="dxa"/>
            <w:right w:w="0" w:type="dxa"/>
          </w:tblCellMar>
        </w:tblPrEx>
        <w:trPr>
          <w:trHeight w:val="430" w:hRule="atLeast"/>
          <w:jc w:val="center"/>
        </w:trPr>
        <w:tc>
          <w:tcPr>
            <w:tcW w:w="772" w:type="dxa"/>
            <w:tcBorders>
              <w:top w:val="single" w:color="auto" w:sz="4" w:space="0"/>
              <w:left w:val="single" w:color="auto" w:sz="4" w:space="0"/>
              <w:bottom w:val="single" w:color="auto" w:sz="4" w:space="0"/>
              <w:right w:val="single" w:color="auto" w:sz="4" w:space="0"/>
              <w:tl2br w:val="nil"/>
              <w:tr2bl w:val="nil"/>
            </w:tcBorders>
            <w:noWrap/>
            <w:tcMar>
              <w:top w:w="12" w:type="dxa"/>
              <w:left w:w="12" w:type="dxa"/>
              <w:right w:w="12" w:type="dxa"/>
            </w:tcMar>
            <w:vAlign w:val="center"/>
          </w:tcPr>
          <w:p w14:paraId="6C225442">
            <w:pPr>
              <w:spacing w:line="360" w:lineRule="auto"/>
              <w:jc w:val="center"/>
              <w:rPr>
                <w:rFonts w:hint="eastAsia" w:ascii="宋体" w:hAnsi="宋体" w:cs="Times New Roman"/>
                <w:color w:val="auto"/>
                <w:szCs w:val="24"/>
                <w:highlight w:val="none"/>
              </w:rPr>
            </w:pPr>
            <w:r>
              <w:rPr>
                <w:rFonts w:hint="eastAsia" w:ascii="宋体" w:hAnsi="宋体" w:cs="Times New Roman"/>
                <w:color w:val="auto"/>
                <w:szCs w:val="24"/>
                <w:highlight w:val="none"/>
              </w:rPr>
              <w:t>3</w:t>
            </w:r>
          </w:p>
        </w:tc>
        <w:tc>
          <w:tcPr>
            <w:tcW w:w="1585"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11CD9168">
            <w:pPr>
              <w:spacing w:line="360" w:lineRule="auto"/>
              <w:jc w:val="center"/>
              <w:rPr>
                <w:rFonts w:hint="eastAsia" w:ascii="宋体" w:hAnsi="宋体" w:cs="Times New Roman"/>
                <w:color w:val="auto"/>
                <w:szCs w:val="24"/>
                <w:highlight w:val="none"/>
              </w:rPr>
            </w:pPr>
            <w:r>
              <w:rPr>
                <w:rFonts w:hint="eastAsia" w:ascii="宋体" w:hAnsi="宋体" w:cs="Times New Roman"/>
                <w:color w:val="auto"/>
                <w:szCs w:val="24"/>
                <w:highlight w:val="none"/>
              </w:rPr>
              <w:t>建模复核</w:t>
            </w:r>
          </w:p>
        </w:tc>
        <w:tc>
          <w:tcPr>
            <w:tcW w:w="6869"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40F2CF60">
            <w:pPr>
              <w:spacing w:line="360" w:lineRule="auto"/>
              <w:rPr>
                <w:rFonts w:hint="eastAsia" w:ascii="宋体" w:hAnsi="宋体" w:cs="Times New Roman"/>
                <w:color w:val="auto"/>
                <w:szCs w:val="24"/>
                <w:highlight w:val="none"/>
              </w:rPr>
            </w:pPr>
            <w:r>
              <w:rPr>
                <w:rFonts w:hint="eastAsia" w:ascii="宋体" w:hAnsi="宋体" w:cs="Times New Roman"/>
                <w:color w:val="auto"/>
                <w:szCs w:val="24"/>
                <w:highlight w:val="none"/>
              </w:rPr>
              <w:t>1.结构建模模型计算；</w:t>
            </w:r>
          </w:p>
        </w:tc>
      </w:tr>
      <w:tr w14:paraId="7FEF29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85" w:type="dxa"/>
            <w:left w:w="85" w:type="dxa"/>
            <w:bottom w:w="0" w:type="dxa"/>
            <w:right w:w="0" w:type="dxa"/>
          </w:tblCellMar>
        </w:tblPrEx>
        <w:trPr>
          <w:trHeight w:val="865" w:hRule="atLeast"/>
          <w:jc w:val="center"/>
        </w:trPr>
        <w:tc>
          <w:tcPr>
            <w:tcW w:w="772" w:type="dxa"/>
            <w:tcBorders>
              <w:top w:val="single" w:color="auto" w:sz="4" w:space="0"/>
              <w:left w:val="single" w:color="auto" w:sz="4" w:space="0"/>
              <w:bottom w:val="single" w:color="auto" w:sz="4" w:space="0"/>
              <w:right w:val="single" w:color="auto" w:sz="4" w:space="0"/>
              <w:tl2br w:val="nil"/>
              <w:tr2bl w:val="nil"/>
            </w:tcBorders>
            <w:noWrap/>
            <w:tcMar>
              <w:top w:w="12" w:type="dxa"/>
              <w:left w:w="12" w:type="dxa"/>
              <w:right w:w="12" w:type="dxa"/>
            </w:tcMar>
            <w:vAlign w:val="center"/>
          </w:tcPr>
          <w:p w14:paraId="0C27637D">
            <w:pPr>
              <w:spacing w:line="360" w:lineRule="auto"/>
              <w:jc w:val="center"/>
              <w:rPr>
                <w:rFonts w:hint="eastAsia" w:ascii="宋体" w:hAnsi="宋体" w:cs="Times New Roman"/>
                <w:color w:val="auto"/>
                <w:szCs w:val="24"/>
                <w:highlight w:val="none"/>
              </w:rPr>
            </w:pPr>
            <w:r>
              <w:rPr>
                <w:rFonts w:hint="eastAsia" w:ascii="宋体" w:hAnsi="宋体" w:cs="Times New Roman"/>
                <w:color w:val="auto"/>
                <w:szCs w:val="24"/>
                <w:highlight w:val="none"/>
              </w:rPr>
              <w:t>4</w:t>
            </w:r>
          </w:p>
        </w:tc>
        <w:tc>
          <w:tcPr>
            <w:tcW w:w="1585"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6D5D09EE">
            <w:pPr>
              <w:spacing w:line="360" w:lineRule="auto"/>
              <w:jc w:val="center"/>
              <w:rPr>
                <w:rFonts w:hint="eastAsia" w:ascii="宋体" w:hAnsi="宋体" w:cs="Times New Roman"/>
                <w:color w:val="auto"/>
                <w:szCs w:val="24"/>
                <w:highlight w:val="none"/>
              </w:rPr>
            </w:pPr>
            <w:r>
              <w:rPr>
                <w:rFonts w:hint="eastAsia" w:ascii="宋体" w:hAnsi="宋体" w:cs="Times New Roman"/>
                <w:color w:val="auto"/>
                <w:szCs w:val="24"/>
                <w:highlight w:val="none"/>
              </w:rPr>
              <w:t>编写鉴定报告</w:t>
            </w:r>
          </w:p>
        </w:tc>
        <w:tc>
          <w:tcPr>
            <w:tcW w:w="6869"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7E03D147">
            <w:pPr>
              <w:spacing w:line="360" w:lineRule="auto"/>
              <w:rPr>
                <w:rFonts w:hint="eastAsia" w:ascii="宋体" w:hAnsi="宋体" w:cs="Times New Roman"/>
                <w:color w:val="auto"/>
                <w:szCs w:val="24"/>
                <w:highlight w:val="none"/>
              </w:rPr>
            </w:pPr>
            <w:r>
              <w:rPr>
                <w:rFonts w:hint="eastAsia" w:ascii="宋体" w:hAnsi="宋体" w:cs="Times New Roman"/>
                <w:color w:val="auto"/>
                <w:szCs w:val="24"/>
                <w:highlight w:val="none"/>
              </w:rPr>
              <w:t>1.安全性鉴定评级；</w:t>
            </w:r>
          </w:p>
          <w:p w14:paraId="4178DD81">
            <w:pPr>
              <w:spacing w:line="360" w:lineRule="auto"/>
              <w:rPr>
                <w:rFonts w:hint="eastAsia" w:ascii="宋体" w:hAnsi="宋体" w:cs="Times New Roman"/>
                <w:color w:val="auto"/>
                <w:szCs w:val="24"/>
                <w:highlight w:val="none"/>
              </w:rPr>
            </w:pPr>
            <w:r>
              <w:rPr>
                <w:rFonts w:hint="eastAsia" w:ascii="宋体" w:hAnsi="宋体" w:cs="Times New Roman"/>
                <w:color w:val="auto"/>
                <w:szCs w:val="24"/>
                <w:highlight w:val="none"/>
              </w:rPr>
              <w:t>2.后续处理建议；</w:t>
            </w:r>
          </w:p>
        </w:tc>
      </w:tr>
    </w:tbl>
    <w:p w14:paraId="782D7140">
      <w:pPr>
        <w:spacing w:line="360" w:lineRule="auto"/>
        <w:ind w:firstLine="480" w:firstLineChars="200"/>
        <w:rPr>
          <w:rFonts w:hint="eastAsia" w:ascii="宋体" w:hAnsi="宋体" w:cs="Times New Roman"/>
          <w:color w:val="auto"/>
          <w:szCs w:val="24"/>
          <w:highlight w:val="none"/>
          <w:lang w:val="en-US" w:eastAsia="zh-CN"/>
        </w:rPr>
      </w:pPr>
    </w:p>
    <w:p w14:paraId="15DD5347">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val="en-US" w:eastAsia="zh-CN"/>
        </w:rPr>
        <w:t>3.</w:t>
      </w:r>
      <w:r>
        <w:rPr>
          <w:rFonts w:hint="eastAsia" w:ascii="宋体" w:hAnsi="宋体" w:cs="Times New Roman"/>
          <w:color w:val="auto"/>
          <w:szCs w:val="24"/>
          <w:highlight w:val="none"/>
        </w:rPr>
        <w:t xml:space="preserve">安全性鉴定评级 </w:t>
      </w:r>
    </w:p>
    <w:p w14:paraId="4599E9F2">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按照《民用建筑可靠性鉴定标准》（GB50292-2015）规定，进行建筑物安全性鉴定评级。</w:t>
      </w:r>
    </w:p>
    <w:p w14:paraId="23D88D95">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val="en-US" w:eastAsia="zh-CN"/>
        </w:rPr>
        <w:t>4.</w:t>
      </w:r>
      <w:r>
        <w:rPr>
          <w:rFonts w:hint="eastAsia" w:ascii="宋体" w:hAnsi="宋体" w:cs="Times New Roman"/>
          <w:color w:val="auto"/>
          <w:szCs w:val="24"/>
          <w:highlight w:val="none"/>
        </w:rPr>
        <w:t>建议措施</w:t>
      </w:r>
    </w:p>
    <w:p w14:paraId="3E2007C9">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eastAsia="zh-CN"/>
        </w:rPr>
        <w:t>（</w:t>
      </w:r>
      <w:r>
        <w:rPr>
          <w:rFonts w:hint="eastAsia" w:ascii="宋体" w:hAnsi="宋体" w:cs="Times New Roman"/>
          <w:color w:val="auto"/>
          <w:szCs w:val="24"/>
          <w:highlight w:val="none"/>
          <w:lang w:val="en-US" w:eastAsia="zh-CN"/>
        </w:rPr>
        <w:t>1</w:t>
      </w:r>
      <w:r>
        <w:rPr>
          <w:rFonts w:hint="eastAsia" w:ascii="宋体" w:hAnsi="宋体" w:cs="Times New Roman"/>
          <w:color w:val="auto"/>
          <w:szCs w:val="24"/>
          <w:highlight w:val="none"/>
          <w:lang w:eastAsia="zh-CN"/>
        </w:rPr>
        <w:t>）</w:t>
      </w:r>
      <w:r>
        <w:rPr>
          <w:rFonts w:hint="eastAsia" w:ascii="宋体" w:hAnsi="宋体" w:cs="Times New Roman"/>
          <w:color w:val="auto"/>
          <w:szCs w:val="24"/>
          <w:highlight w:val="none"/>
        </w:rPr>
        <w:t>对于不满足《民用建筑可靠性鉴定标准》及其它相关规范安全性要求的构件，明确指出其范围；</w:t>
      </w:r>
    </w:p>
    <w:p w14:paraId="7482B189">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eastAsia="zh-CN"/>
        </w:rPr>
        <w:t>（</w:t>
      </w:r>
      <w:r>
        <w:rPr>
          <w:rFonts w:hint="eastAsia" w:ascii="宋体" w:hAnsi="宋体" w:cs="Times New Roman"/>
          <w:color w:val="auto"/>
          <w:szCs w:val="24"/>
          <w:highlight w:val="none"/>
          <w:lang w:val="en-US" w:eastAsia="zh-CN"/>
        </w:rPr>
        <w:t>2</w:t>
      </w:r>
      <w:r>
        <w:rPr>
          <w:rFonts w:hint="eastAsia" w:ascii="宋体" w:hAnsi="宋体" w:cs="Times New Roman"/>
          <w:color w:val="auto"/>
          <w:szCs w:val="24"/>
          <w:highlight w:val="none"/>
          <w:lang w:eastAsia="zh-CN"/>
        </w:rPr>
        <w:t>）</w:t>
      </w:r>
      <w:r>
        <w:rPr>
          <w:rFonts w:hint="eastAsia" w:ascii="宋体" w:hAnsi="宋体" w:cs="Times New Roman"/>
          <w:color w:val="auto"/>
          <w:szCs w:val="24"/>
          <w:highlight w:val="none"/>
        </w:rPr>
        <w:t xml:space="preserve">依据安全性鉴定评级，对建筑后续使用情况提出建议措施。 </w:t>
      </w:r>
    </w:p>
    <w:p w14:paraId="2C8253D0">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eastAsia="zh-CN"/>
        </w:rPr>
        <w:t>七、</w:t>
      </w:r>
      <w:r>
        <w:rPr>
          <w:rFonts w:hint="eastAsia" w:ascii="宋体" w:hAnsi="宋体" w:cs="Times New Roman"/>
          <w:color w:val="auto"/>
          <w:szCs w:val="24"/>
          <w:highlight w:val="none"/>
        </w:rPr>
        <w:t>鉴定报告编写要求</w:t>
      </w:r>
    </w:p>
    <w:p w14:paraId="7C079B15">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1</w:t>
      </w:r>
      <w:r>
        <w:rPr>
          <w:rFonts w:hint="eastAsia" w:ascii="宋体" w:hAnsi="宋体" w:cs="Times New Roman"/>
          <w:color w:val="auto"/>
          <w:szCs w:val="24"/>
          <w:highlight w:val="none"/>
          <w:lang w:eastAsia="zh-CN"/>
        </w:rPr>
        <w:t>.</w:t>
      </w:r>
      <w:r>
        <w:rPr>
          <w:rFonts w:hint="eastAsia" w:ascii="宋体" w:hAnsi="宋体" w:cs="Times New Roman"/>
          <w:color w:val="auto"/>
          <w:szCs w:val="24"/>
          <w:highlight w:val="none"/>
        </w:rPr>
        <w:t>鉴定完成后出具符合天津市要求的正式鉴定报告且报告中的数据、建议、结论真实有效，鉴定报告一式3份。达到</w:t>
      </w:r>
      <w:r>
        <w:rPr>
          <w:rFonts w:hint="eastAsia" w:ascii="宋体" w:hAnsi="宋体" w:cs="Times New Roman"/>
          <w:color w:val="auto"/>
          <w:szCs w:val="24"/>
          <w:highlight w:val="none"/>
          <w:lang w:eastAsia="zh-CN"/>
        </w:rPr>
        <w:t>项目</w:t>
      </w:r>
      <w:r>
        <w:rPr>
          <w:rFonts w:hint="eastAsia" w:ascii="宋体" w:hAnsi="宋体" w:cs="Times New Roman"/>
          <w:color w:val="auto"/>
          <w:szCs w:val="24"/>
          <w:highlight w:val="none"/>
        </w:rPr>
        <w:t>需求书要求及国家、地方和行业现行规定合格标准。鉴定报告应包含但不限于以下内容：</w:t>
      </w:r>
    </w:p>
    <w:p w14:paraId="080CD6E5">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（1）工程概况；</w:t>
      </w:r>
    </w:p>
    <w:p w14:paraId="181E8F62">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（2）鉴定目的、内容、范围及依据；</w:t>
      </w:r>
    </w:p>
    <w:p w14:paraId="76BFFB7D">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（3）调查、检测、分析的结果；</w:t>
      </w:r>
    </w:p>
    <w:p w14:paraId="48EB48ED">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（4）评定等级或评定结果；</w:t>
      </w:r>
    </w:p>
    <w:p w14:paraId="3EAE6ACF">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（5）结论与建议。</w:t>
      </w:r>
    </w:p>
    <w:p w14:paraId="0AB8D0B6">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rPr>
        <w:t>2.鉴定报告中应明确指出被鉴定建筑物各鉴定单元在目标使用年限内所存在的问题及原因；</w:t>
      </w:r>
    </w:p>
    <w:p w14:paraId="0985A4E9">
      <w:pPr>
        <w:spacing w:line="360" w:lineRule="auto"/>
        <w:ind w:firstLine="480" w:firstLineChars="200"/>
        <w:rPr>
          <w:rFonts w:hint="eastAsia" w:ascii="宋体" w:hAnsi="宋体" w:cs="Times New Roman"/>
          <w:color w:val="auto"/>
          <w:szCs w:val="24"/>
          <w:highlight w:val="none"/>
          <w:lang w:eastAsia="zh-CN"/>
        </w:rPr>
      </w:pPr>
      <w:r>
        <w:rPr>
          <w:rFonts w:hint="eastAsia" w:ascii="宋体" w:hAnsi="宋体" w:cs="Times New Roman"/>
          <w:color w:val="auto"/>
          <w:szCs w:val="24"/>
          <w:highlight w:val="none"/>
        </w:rPr>
        <w:t>3.鉴定报告中应明确鉴定结果，指明被鉴定建筑物各鉴定单元的最终评定等级或评定结果，作为技术管理或者制定维修计划的依据；</w:t>
      </w:r>
    </w:p>
    <w:p w14:paraId="772FBBDF">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eastAsia="zh-CN"/>
        </w:rPr>
        <w:t>八、服务期限</w:t>
      </w:r>
    </w:p>
    <w:p w14:paraId="7DAD6511">
      <w:pPr>
        <w:spacing w:line="360" w:lineRule="auto"/>
        <w:ind w:firstLine="480" w:firstLineChars="200"/>
        <w:rPr>
          <w:rFonts w:hint="eastAsia" w:ascii="宋体" w:hAnsi="宋体" w:cs="Times New Roman"/>
          <w:color w:val="auto"/>
          <w:szCs w:val="24"/>
          <w:highlight w:val="none"/>
        </w:rPr>
      </w:pPr>
      <w:r>
        <w:rPr>
          <w:rFonts w:hint="eastAsia" w:ascii="宋体" w:hAnsi="宋体" w:cs="Times New Roman"/>
          <w:color w:val="auto"/>
          <w:szCs w:val="24"/>
          <w:highlight w:val="none"/>
          <w:lang w:eastAsia="zh-CN"/>
        </w:rPr>
        <w:t>签订合同</w:t>
      </w:r>
      <w:r>
        <w:rPr>
          <w:rFonts w:hint="eastAsia" w:ascii="宋体" w:hAnsi="宋体" w:cs="Times New Roman"/>
          <w:color w:val="auto"/>
          <w:szCs w:val="24"/>
          <w:highlight w:val="none"/>
        </w:rPr>
        <w:t>之日起</w:t>
      </w:r>
      <w:r>
        <w:rPr>
          <w:rFonts w:hint="eastAsia" w:ascii="宋体" w:hAnsi="宋体" w:cs="Times New Roman"/>
          <w:color w:val="auto"/>
          <w:szCs w:val="24"/>
          <w:highlight w:val="none"/>
          <w:lang w:val="en-US" w:eastAsia="zh-CN"/>
        </w:rPr>
        <w:t>30</w:t>
      </w:r>
      <w:r>
        <w:rPr>
          <w:rFonts w:hint="eastAsia" w:ascii="宋体" w:hAnsi="宋体" w:cs="Times New Roman"/>
          <w:color w:val="auto"/>
          <w:szCs w:val="24"/>
          <w:highlight w:val="none"/>
        </w:rPr>
        <w:t>个工作日内完成</w:t>
      </w:r>
      <w:r>
        <w:rPr>
          <w:rFonts w:hint="eastAsia" w:ascii="宋体" w:hAnsi="宋体" w:cs="Times New Roman"/>
          <w:color w:val="auto"/>
          <w:szCs w:val="24"/>
          <w:highlight w:val="none"/>
          <w:lang w:eastAsia="zh-CN"/>
        </w:rPr>
        <w:t>所有</w:t>
      </w:r>
      <w:r>
        <w:rPr>
          <w:rFonts w:hint="eastAsia" w:ascii="宋体" w:hAnsi="宋体" w:cs="Times New Roman"/>
          <w:color w:val="auto"/>
          <w:szCs w:val="24"/>
          <w:highlight w:val="none"/>
        </w:rPr>
        <w:t>鉴定</w:t>
      </w:r>
      <w:r>
        <w:rPr>
          <w:rFonts w:hint="eastAsia" w:ascii="宋体" w:hAnsi="宋体" w:cs="Times New Roman"/>
          <w:color w:val="auto"/>
          <w:szCs w:val="24"/>
          <w:highlight w:val="none"/>
          <w:lang w:eastAsia="zh-CN"/>
        </w:rPr>
        <w:t>工作并出具正式的鉴定报告</w:t>
      </w:r>
      <w:r>
        <w:rPr>
          <w:rFonts w:hint="eastAsia" w:ascii="宋体" w:hAnsi="宋体" w:cs="Times New Roman"/>
          <w:color w:val="auto"/>
          <w:szCs w:val="24"/>
          <w:highlight w:val="none"/>
        </w:rPr>
        <w:t>，</w:t>
      </w:r>
      <w:r>
        <w:rPr>
          <w:rFonts w:hint="eastAsia" w:ascii="宋体" w:hAnsi="宋体" w:cs="Times New Roman"/>
          <w:color w:val="auto"/>
          <w:szCs w:val="24"/>
          <w:highlight w:val="none"/>
          <w:lang w:eastAsia="zh-CN"/>
        </w:rPr>
        <w:t>并提供</w:t>
      </w:r>
      <w:r>
        <w:rPr>
          <w:rFonts w:hint="eastAsia" w:ascii="宋体" w:hAnsi="宋体" w:cs="Times New Roman"/>
          <w:color w:val="auto"/>
          <w:szCs w:val="24"/>
          <w:highlight w:val="none"/>
        </w:rPr>
        <w:t>后期技术咨询支持至本项目全面完结（特殊情况</w:t>
      </w:r>
      <w:r>
        <w:rPr>
          <w:rFonts w:hint="eastAsia" w:ascii="宋体" w:hAnsi="宋体" w:cs="Times New Roman"/>
          <w:color w:val="auto"/>
          <w:szCs w:val="24"/>
          <w:highlight w:val="none"/>
          <w:lang w:eastAsia="zh-CN"/>
        </w:rPr>
        <w:t>另行商议</w:t>
      </w:r>
      <w:r>
        <w:rPr>
          <w:rFonts w:hint="eastAsia" w:ascii="宋体" w:hAnsi="宋体" w:cs="Times New Roman"/>
          <w:color w:val="auto"/>
          <w:szCs w:val="24"/>
          <w:highlight w:val="none"/>
        </w:rPr>
        <w:t>）。</w:t>
      </w:r>
    </w:p>
    <w:p w14:paraId="6676F0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972DB8"/>
    <w:rsid w:val="03972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2026-08-12T00:45:00Z</dcterms:created>
  <dc:creator>柳絮飞</dc:creator>
  <cp:lastModifiedBy>柳絮飞</cp:lastModifiedBy>
  <dcterms:modified xsi:type="dcterms:W3CDTF">2026-08-12T00:48:37Z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9D87B38430D54783B1EB75D50A494851_11</vt:lpwstr>
  </property>
  <property fmtid="{D5CDD505-2E9C-101B-9397-08002B2CF9AE}" pid="4" name="KSOTemplateDocerSaveRecord">
    <vt:lpwstr>eyJoZGlkIjoiOWE1NmUwMmVjNjU2YzcwMDFmMzY3NzA5Mjc3MGE3YTQiLCJ1c2VySWQiOiIzMTIwNTAyMzUifQ==</vt:lpwstr>
  </property>
</Properties>
</file>