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7FF59">
      <w:pPr>
        <w:pStyle w:val="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天津市滨海新区中医</w:t>
      </w:r>
      <w:bookmarkStart w:id="1" w:name="_GoBack"/>
      <w:r>
        <w:rPr>
          <w:rFonts w:hint="eastAsia" w:ascii="宋体" w:hAnsi="宋体" w:eastAsia="宋体" w:cs="宋体"/>
          <w:color w:val="auto"/>
          <w:sz w:val="24"/>
          <w:szCs w:val="24"/>
          <w:highlight w:val="none"/>
          <w:lang w:eastAsia="zh-CN"/>
        </w:rPr>
        <w:t>医院北塘院区一键报警终端服务项目</w:t>
      </w:r>
      <w:r>
        <w:rPr>
          <w:rFonts w:hint="eastAsia" w:ascii="宋体" w:hAnsi="宋体" w:eastAsia="宋体" w:cs="宋体"/>
          <w:color w:val="auto"/>
          <w:sz w:val="24"/>
          <w:szCs w:val="24"/>
          <w:highlight w:val="none"/>
        </w:rPr>
        <w:t>需求书</w:t>
      </w:r>
    </w:p>
    <w:bookmarkEnd w:id="1"/>
    <w:p w14:paraId="4388476B">
      <w:pPr>
        <w:numPr>
          <w:ilvl w:val="0"/>
          <w:numId w:val="1"/>
        </w:num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项目背景</w:t>
      </w:r>
    </w:p>
    <w:p w14:paraId="279D310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kern w:val="2"/>
          <w:sz w:val="24"/>
          <w:szCs w:val="24"/>
          <w:highlight w:val="none"/>
          <w:lang w:val="en-US" w:eastAsia="zh-CN" w:bidi="ar-SA"/>
        </w:rPr>
        <w:t>一键报警系统是医疗机构安全运营的核心技防保障，依托信息化与物联网技术，可实现对医患冲突、暴力伤医、非法入侵等突发紧急事件的快速感知、精准定位、及时响应与全流程可追溯，是构建医院安全防护体系的关键环节。我院北塘院区350个终端点位（覆盖门诊科室、住院部、护士站、收费窗口等全部重点区域）安装一键报警系统，实现一键报警功能即可完成与医院消控室的联网联动，有效降低改造成本、提升报警响应效率。</w:t>
      </w:r>
    </w:p>
    <w:p w14:paraId="2FE84018">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二、项目预算</w:t>
      </w:r>
    </w:p>
    <w:p w14:paraId="2DA9827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第一包：</w:t>
      </w:r>
      <w:r>
        <w:rPr>
          <w:rFonts w:hint="eastAsia" w:ascii="宋体" w:hAnsi="宋体" w:eastAsia="宋体" w:cs="宋体"/>
          <w:color w:val="auto"/>
          <w:sz w:val="24"/>
          <w:szCs w:val="24"/>
          <w:highlight w:val="none"/>
          <w:lang w:val="en-US"/>
        </w:rPr>
        <w:t>9</w:t>
      </w:r>
      <w:r>
        <w:rPr>
          <w:rFonts w:hint="eastAsia" w:ascii="宋体" w:hAnsi="宋体" w:eastAsia="宋体" w:cs="宋体"/>
          <w:color w:val="auto"/>
          <w:sz w:val="24"/>
          <w:szCs w:val="24"/>
          <w:highlight w:val="none"/>
          <w:lang w:val="en-US" w:eastAsia="zh-CN"/>
        </w:rPr>
        <w:t>万</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val="en-US" w:eastAsia="zh-CN"/>
        </w:rPr>
        <w:t>年（系统搭建及运维3年费用）</w:t>
      </w:r>
      <w:r>
        <w:rPr>
          <w:rFonts w:hint="eastAsia" w:ascii="宋体" w:hAnsi="宋体" w:eastAsia="宋体" w:cs="宋体"/>
          <w:color w:val="auto"/>
          <w:sz w:val="24"/>
          <w:szCs w:val="24"/>
          <w:highlight w:val="none"/>
        </w:rPr>
        <w:t>；</w:t>
      </w:r>
    </w:p>
    <w:p w14:paraId="26E1199E">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三、资格要求</w:t>
      </w:r>
    </w:p>
    <w:p w14:paraId="157D72C3">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一</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具备《中华人民共和国政府采购法》第二十二条第一款规定的条件</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提供以下材料：</w:t>
      </w:r>
    </w:p>
    <w:p w14:paraId="30821A16">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1.营业执照副本或事业单位法人证书或民办非企业单位登记证书或社会团体法人登记证书或基金会法人登记证书扫描件或复印件并加盖公章。</w:t>
      </w:r>
    </w:p>
    <w:p w14:paraId="654A8858">
      <w:pPr>
        <w:spacing w:line="360" w:lineRule="auto"/>
        <w:ind w:firstLine="480" w:firstLineChars="200"/>
        <w:rPr>
          <w:rFonts w:hint="eastAsia" w:ascii="宋体" w:hAnsi="宋体" w:eastAsia="宋体" w:cs="宋体"/>
          <w:color w:val="auto"/>
          <w:kern w:val="2"/>
          <w:sz w:val="24"/>
          <w:szCs w:val="24"/>
          <w:highlight w:val="none"/>
          <w:lang w:val="en-US" w:eastAsia="zh-CN"/>
        </w:rPr>
      </w:pPr>
      <w:bookmarkStart w:id="0" w:name="OLE_LINK5"/>
      <w:r>
        <w:rPr>
          <w:rFonts w:hint="eastAsia" w:ascii="宋体" w:hAnsi="宋体" w:eastAsia="宋体" w:cs="宋体"/>
          <w:color w:val="auto"/>
          <w:kern w:val="2"/>
          <w:sz w:val="24"/>
          <w:szCs w:val="24"/>
          <w:highlight w:val="none"/>
          <w:lang w:val="en-US" w:eastAsia="zh-CN"/>
        </w:rPr>
        <w:t>2.财务状况报告等相关材料：提供2025年经第三方会计师事务所审计的企业财务报告扫描件（应包括完整的审计报告和财务报表）或提交响应文件截止日期前近3个月内银行出具的资信证明复印件并加盖公章。</w:t>
      </w:r>
    </w:p>
    <w:p w14:paraId="34A7E549">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3.开标之日前2月内（含当月）至少1个月的依法缴纳税收和社会保险费的相关证明材料扫描件或复印件并加盖公章。</w:t>
      </w:r>
    </w:p>
    <w:bookmarkEnd w:id="0"/>
    <w:p w14:paraId="1C8C89E5">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4.提交响应文件截止日前3年在经营活动中没有重大违法记录的书面声明（提交响应文件截止日前成立不足3年的供应商可提供自成立以来无重大违法记录的书面声明）并加盖公章。</w:t>
      </w:r>
    </w:p>
    <w:p w14:paraId="0679071A">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kern w:val="2"/>
          <w:sz w:val="24"/>
          <w:szCs w:val="24"/>
          <w:highlight w:val="none"/>
          <w:lang w:val="en-US" w:eastAsia="zh-CN" w:bidi="ar-SA"/>
        </w:rPr>
        <w:t>供应商须由法定代表人或其授权的委托代理人参加磋商。供应商若为法定代表人参加磋商，需提供法定代表人资格证明书（须加盖投标单位公章）；供应商若为供应商代表参加磋商，须提供法定代表人授权书（须由法定代表人签字或盖章）和供应商代表身份证原件。</w:t>
      </w:r>
    </w:p>
    <w:p w14:paraId="4A56E4C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）本项</w:t>
      </w:r>
      <w:r>
        <w:rPr>
          <w:rFonts w:hint="eastAsia" w:ascii="宋体" w:hAnsi="宋体" w:eastAsia="宋体" w:cs="宋体"/>
          <w:color w:val="auto"/>
          <w:kern w:val="2"/>
          <w:sz w:val="24"/>
          <w:szCs w:val="24"/>
          <w:highlight w:val="none"/>
        </w:rPr>
        <w:t>目不接受联合体</w:t>
      </w:r>
      <w:r>
        <w:rPr>
          <w:rFonts w:hint="eastAsia" w:ascii="宋体" w:hAnsi="宋体" w:eastAsia="宋体" w:cs="宋体"/>
          <w:color w:val="auto"/>
          <w:kern w:val="2"/>
          <w:sz w:val="24"/>
          <w:szCs w:val="24"/>
          <w:highlight w:val="none"/>
          <w:lang w:eastAsia="zh-CN"/>
        </w:rPr>
        <w:t>，不允许</w:t>
      </w:r>
      <w:r>
        <w:rPr>
          <w:rFonts w:hint="eastAsia" w:ascii="宋体" w:hAnsi="宋体" w:eastAsia="宋体" w:cs="宋体"/>
          <w:color w:val="auto"/>
          <w:kern w:val="2"/>
          <w:sz w:val="24"/>
          <w:szCs w:val="24"/>
          <w:highlight w:val="none"/>
          <w:lang w:val="en-US" w:eastAsia="zh-CN"/>
        </w:rPr>
        <w:t>分包、转包</w:t>
      </w:r>
      <w:r>
        <w:rPr>
          <w:rFonts w:hint="eastAsia" w:ascii="宋体" w:hAnsi="宋体" w:eastAsia="宋体" w:cs="宋体"/>
          <w:color w:val="auto"/>
          <w:kern w:val="2"/>
          <w:sz w:val="24"/>
          <w:szCs w:val="24"/>
          <w:highlight w:val="none"/>
        </w:rPr>
        <w:t>。</w:t>
      </w:r>
    </w:p>
    <w:p w14:paraId="6E3F2CA3">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四、服务期</w:t>
      </w:r>
    </w:p>
    <w:p w14:paraId="6849B9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签订合同之日起</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rPr>
        <w:t>年（特殊情况以合同为准）。</w:t>
      </w:r>
    </w:p>
    <w:p w14:paraId="10C36F4F">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五、服务地点</w:t>
      </w:r>
    </w:p>
    <w:p w14:paraId="32B53C94">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天津市滨海新区中医医院北塘院区</w:t>
      </w:r>
    </w:p>
    <w:p w14:paraId="335A6E11">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六、付款方式</w:t>
      </w:r>
    </w:p>
    <w:p w14:paraId="0D809D3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按年度考核付款</w:t>
      </w:r>
    </w:p>
    <w:p w14:paraId="0D84A268">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(1)项目付款方式为分期付款，搭建系统验收后及每年度按照考核结束支付，合同期内共支付4次。</w:t>
      </w:r>
    </w:p>
    <w:p w14:paraId="24FB0EA3">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(2)由采购人对维保服务质量进行考核并填写考核表，分数在90分以上为达标，最终向供应商结算的费用金额以实际考核后的结果为准。</w:t>
      </w:r>
    </w:p>
    <w:p w14:paraId="1321609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质量考核未达90分的，采购人有权扣除部分服务费。考核分数85-89分扣除当年服务费5%。80-84分扣除当年服务费10%；发生责任事故或案件，给采购人造成严重损失及社会影响的，可根据损失及影响的重大程度单方决定进一步扣除服务费2000-3000元，情节特别恶劣的扣除全年全部费用直至解除合同。</w:t>
      </w:r>
    </w:p>
    <w:p w14:paraId="57DE4757">
      <w:pPr>
        <w:pStyle w:val="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(4)供应商在服务期间，表现突出或做出优异表现的，采购人在考核时酌情给予奖励性加分，最高不超过20分，考核分数与奖励分之和不超过100分。</w:t>
      </w:r>
    </w:p>
    <w:p w14:paraId="424AEB8D">
      <w:pPr>
        <w:pStyle w:val="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(5)甲方凭乙方开具的合法等额增值税发票</w:t>
      </w:r>
      <w:r>
        <w:rPr>
          <w:rFonts w:hint="eastAsia" w:ascii="宋体" w:hAnsi="宋体" w:eastAsia="宋体" w:cs="宋体"/>
          <w:color w:val="auto"/>
          <w:sz w:val="24"/>
          <w:szCs w:val="24"/>
          <w:highlight w:val="none"/>
          <w:u w:val="none"/>
          <w:lang w:val="en-US" w:eastAsia="zh-CN"/>
        </w:rPr>
        <w:t>于</w:t>
      </w:r>
      <w:r>
        <w:rPr>
          <w:rFonts w:hint="eastAsia" w:ascii="宋体" w:hAnsi="宋体" w:eastAsia="宋体" w:cs="宋体"/>
          <w:b w:val="0"/>
          <w:bCs w:val="0"/>
          <w:color w:val="auto"/>
          <w:sz w:val="24"/>
          <w:szCs w:val="24"/>
          <w:highlight w:val="none"/>
          <w:u w:val="none"/>
          <w:lang w:val="en-US" w:eastAsia="zh-CN"/>
        </w:rPr>
        <w:t>30日</w:t>
      </w:r>
      <w:r>
        <w:rPr>
          <w:rFonts w:hint="eastAsia" w:ascii="宋体" w:hAnsi="宋体" w:eastAsia="宋体" w:cs="宋体"/>
          <w:color w:val="auto"/>
          <w:sz w:val="24"/>
          <w:szCs w:val="24"/>
          <w:highlight w:val="none"/>
          <w:lang w:val="en-US" w:eastAsia="zh-CN"/>
        </w:rPr>
        <w:t>内当期服务费。因乙方未开具或开具发票不合格的，视为付款条件未成功，甲方有权延期付款，且不承担任何责任。</w:t>
      </w:r>
    </w:p>
    <w:p w14:paraId="6094BD0C">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(6)考核表：采购人有权根据具体工作需求及相关法律法规的要求调整考核表。附表见磋商文件。</w:t>
      </w:r>
    </w:p>
    <w:p w14:paraId="6234A83F">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七、技术要求</w:t>
      </w:r>
    </w:p>
    <w:p w14:paraId="2D2FB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lang w:val="en-US" w:eastAsia="zh-CN" w:bidi="ar-SA"/>
        </w:rPr>
        <w:t>可依托院内现有条件进行一键报警系统搭建，也可利用其他区方式建立医院一键报警系统，不进行大规模重新布线。</w:t>
      </w:r>
      <w:r>
        <w:rPr>
          <w:rFonts w:hint="eastAsia" w:ascii="宋体" w:hAnsi="宋体" w:eastAsia="宋体" w:cs="宋体"/>
          <w:i w:val="0"/>
          <w:iCs w:val="0"/>
          <w:color w:val="auto"/>
          <w:kern w:val="2"/>
          <w:sz w:val="24"/>
          <w:szCs w:val="24"/>
          <w:highlight w:val="none"/>
          <w:u w:val="none"/>
          <w:lang w:val="en-US" w:eastAsia="zh-CN" w:bidi="ar-SA"/>
        </w:rPr>
        <w:t>最终交付终端点位不少于350个，位置根据医院要求进行确定，便捷隐蔽</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i w:val="0"/>
          <w:iCs w:val="0"/>
          <w:color w:val="auto"/>
          <w:kern w:val="2"/>
          <w:sz w:val="24"/>
          <w:szCs w:val="24"/>
          <w:highlight w:val="none"/>
          <w:u w:val="none"/>
          <w:lang w:val="en-US" w:eastAsia="zh-CN" w:bidi="ar-SA"/>
        </w:rPr>
        <w:t>覆盖门诊科室、住院部护士站、各类窗口点位等重点区域。</w:t>
      </w:r>
    </w:p>
    <w:p w14:paraId="5DE831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系统搭建要求：完成北塘院区服务器部署，含报警系统、操作系统、数据库系统等配套系统；提供配套服务器用于系统服务端设备，含配套声光报警器、显示器等硬件设备；系统搭建工期需在合同签订起15天内完成。</w:t>
      </w:r>
    </w:p>
    <w:p w14:paraId="5D39D3BA">
      <w:p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lang w:val="en-US" w:eastAsia="zh-CN" w:bidi="ar-SA"/>
        </w:rPr>
        <w:t>一键触发：部署触发点，触发方式需简单、隐蔽、易操作，具有防误触功能。</w:t>
      </w:r>
    </w:p>
    <w:p w14:paraId="5154D021">
      <w:p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点位管理功能：报警点位名称编辑、修改、位置变动时可快速修正信息。</w:t>
      </w:r>
    </w:p>
    <w:p w14:paraId="4BAA3299">
      <w:p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lang w:val="en-US" w:eastAsia="zh-CN" w:bidi="ar-SA"/>
        </w:rPr>
        <w:t>稳定传输：报警信号可通过有线/无线传输，需在院内复杂环境实现稳定低延时传输，保证信息不丢失、不延误。</w:t>
      </w:r>
    </w:p>
    <w:p w14:paraId="59835341">
      <w:p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lang w:val="en-US" w:eastAsia="zh-CN" w:bidi="ar-SA"/>
        </w:rPr>
        <w:t>接收显示：指定地点实时接收，支持声光、文字、图形化地图等醒目提示，可准确显示报警点位置。</w:t>
      </w:r>
    </w:p>
    <w:p w14:paraId="4A1F60C4">
      <w:p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管理体系及可追溯性：建立权限分级管理框架，值班人员、管理人员、系统管理员分级进行管理；授权、修改、报警痕迹等原始数据记录不得修改并保留至少一年，包含但不限于：完整留存设备操作记录、用户登录日志、报警触发全流程记录系统运维操作记录等全链路。</w:t>
      </w:r>
    </w:p>
    <w:p w14:paraId="36825661">
      <w:p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lang w:val="en-US" w:eastAsia="zh-CN" w:bidi="ar-SA"/>
        </w:rPr>
        <w:t>功能提升：一键报警系统如能实现后续升级服务,如录音、录像等作为加分项。</w:t>
      </w:r>
    </w:p>
    <w:p w14:paraId="28E97784">
      <w:pPr>
        <w:numPr>
          <w:ilvl w:val="-1"/>
          <w:numId w:val="0"/>
        </w:numPr>
        <w:pBdr>
          <w:top w:val="none" w:color="auto" w:sz="0" w:space="0"/>
          <w:left w:val="none" w:color="auto" w:sz="0" w:space="0"/>
          <w:bottom w:val="none" w:color="auto" w:sz="0" w:space="0"/>
          <w:right w:val="none" w:color="auto" w:sz="0" w:space="0"/>
        </w:pBdr>
        <w:adjustRightInd/>
        <w:snapToGrid/>
        <w:spacing w:after="0"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报价要求：</w:t>
      </w:r>
      <w:r>
        <w:rPr>
          <w:rFonts w:hint="eastAsia" w:ascii="宋体" w:hAnsi="宋体" w:eastAsia="宋体" w:cs="宋体"/>
          <w:i w:val="0"/>
          <w:iCs w:val="0"/>
          <w:color w:val="auto"/>
          <w:kern w:val="2"/>
          <w:sz w:val="24"/>
          <w:szCs w:val="24"/>
          <w:highlight w:val="none"/>
          <w:u w:val="none"/>
          <w:lang w:val="en-US" w:eastAsia="zh-CN" w:bidi="ar-SA"/>
        </w:rPr>
        <w:t>一键报警服务器系统搭建部署与3</w:t>
      </w:r>
      <w:r>
        <w:rPr>
          <w:rFonts w:hint="eastAsia" w:ascii="宋体" w:hAnsi="宋体" w:eastAsia="宋体" w:cs="宋体"/>
          <w:color w:val="auto"/>
          <w:kern w:val="2"/>
          <w:sz w:val="24"/>
          <w:szCs w:val="24"/>
          <w:highlight w:val="none"/>
          <w:lang w:val="en-US" w:eastAsia="zh-CN" w:bidi="ar-SA"/>
        </w:rPr>
        <w:t>年全周期系统运维服务费用之和</w:t>
      </w: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i w:val="0"/>
          <w:iCs w:val="0"/>
          <w:color w:val="auto"/>
          <w:kern w:val="2"/>
          <w:sz w:val="24"/>
          <w:szCs w:val="24"/>
          <w:highlight w:val="none"/>
          <w:u w:val="none"/>
          <w:lang w:val="en-US" w:eastAsia="zh-CN" w:bidi="ar-SA"/>
        </w:rPr>
        <w:t>组合报价不得超过90000元</w:t>
      </w:r>
      <w:r>
        <w:rPr>
          <w:rFonts w:hint="eastAsia" w:ascii="宋体" w:hAnsi="宋体" w:eastAsia="宋体" w:cs="宋体"/>
          <w:color w:val="auto"/>
          <w:kern w:val="2"/>
          <w:sz w:val="24"/>
          <w:szCs w:val="24"/>
          <w:highlight w:val="none"/>
          <w:lang w:val="en-US" w:eastAsia="zh-CN"/>
        </w:rPr>
        <w:t>。</w:t>
      </w:r>
    </w:p>
    <w:p w14:paraId="686490B0">
      <w:pPr>
        <w:pStyle w:val="2"/>
        <w:rPr>
          <w:rFonts w:hint="eastAsia" w:ascii="宋体" w:hAnsi="宋体" w:eastAsia="宋体" w:cs="宋体"/>
          <w:color w:val="auto"/>
          <w:sz w:val="24"/>
          <w:szCs w:val="24"/>
          <w:highlight w:val="none"/>
          <w:lang w:val="en-US" w:eastAsia="zh-CN"/>
        </w:rPr>
      </w:pPr>
    </w:p>
    <w:tbl>
      <w:tblPr>
        <w:tblStyle w:val="7"/>
        <w:tblW w:w="82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1980"/>
        <w:gridCol w:w="966"/>
        <w:gridCol w:w="4882"/>
      </w:tblGrid>
      <w:tr w14:paraId="13251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0BF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1E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项目内容</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C8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最高限价（元）</w:t>
            </w:r>
          </w:p>
        </w:tc>
        <w:tc>
          <w:tcPr>
            <w:tcW w:w="4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15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服务说明</w:t>
            </w:r>
          </w:p>
        </w:tc>
      </w:tr>
      <w:tr w14:paraId="5296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882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A0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一键报警服务器系统搭建部署</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53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30000</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076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完成北塘院区服务器部署调试，包含一键报警主机、手动报警按钮、声光报警器等硬件设备采购安装，同步完成报警系统、操作系统、数据库系统的配套部署。通过安防验收标准。</w:t>
            </w:r>
          </w:p>
        </w:tc>
      </w:tr>
      <w:tr w14:paraId="30ED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3E6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D0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3年全周期系统运维服务</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FE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60000</w:t>
            </w:r>
          </w:p>
        </w:tc>
        <w:tc>
          <w:tcPr>
            <w:tcW w:w="4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EDE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服务周期共3年，每年运维费用不高于25000元，提供7×24小时远程值守响应，每月自动巡检或者现场巡检1次，故障按照要求到场处置免费维修，按照采购人需求调整点位，全程提供系统版本迭代升级服务，每半年至少组织1次操作培训，保障系统长期稳定运行。</w:t>
            </w:r>
          </w:p>
        </w:tc>
      </w:tr>
    </w:tbl>
    <w:p w14:paraId="277E6254">
      <w:pPr>
        <w:pStyle w:val="2"/>
        <w:rPr>
          <w:rFonts w:hint="eastAsia" w:ascii="宋体" w:hAnsi="宋体" w:eastAsia="宋体" w:cs="宋体"/>
          <w:color w:val="auto"/>
          <w:sz w:val="24"/>
          <w:szCs w:val="24"/>
          <w:highlight w:val="none"/>
          <w:lang w:val="en-US" w:eastAsia="zh-CN"/>
        </w:rPr>
      </w:pPr>
    </w:p>
    <w:p w14:paraId="1D94324B">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九、其他要求</w:t>
      </w:r>
    </w:p>
    <w:p w14:paraId="24DF0E14">
      <w:pPr>
        <w:numPr>
          <w:ilvl w:val="0"/>
          <w:numId w:val="2"/>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维修时效要求：供应商24小时接听采购人故障报修电话，接到故障报修后，</w:t>
      </w:r>
      <w:r>
        <w:rPr>
          <w:rStyle w:val="9"/>
          <w:rFonts w:hint="eastAsia" w:ascii="宋体" w:hAnsi="宋体" w:eastAsia="宋体" w:cs="宋体"/>
          <w:b w:val="0"/>
          <w:i w:val="0"/>
          <w:iCs w:val="0"/>
          <w:caps w:val="0"/>
          <w:color w:val="auto"/>
          <w:spacing w:val="0"/>
          <w:sz w:val="24"/>
          <w:szCs w:val="24"/>
          <w:highlight w:val="none"/>
        </w:rPr>
        <w:t>紧急故障4小时内</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eastAsia="zh-CN"/>
        </w:rPr>
        <w:t>，</w:t>
      </w:r>
      <w:r>
        <w:rPr>
          <w:rStyle w:val="9"/>
          <w:rFonts w:hint="eastAsia" w:ascii="宋体" w:hAnsi="宋体" w:eastAsia="宋体" w:cs="宋体"/>
          <w:b w:val="0"/>
          <w:i w:val="0"/>
          <w:iCs w:val="0"/>
          <w:caps w:val="0"/>
          <w:color w:val="auto"/>
          <w:spacing w:val="0"/>
          <w:sz w:val="24"/>
          <w:szCs w:val="24"/>
          <w:highlight w:val="none"/>
        </w:rPr>
        <w:t>一般故障</w:t>
      </w:r>
      <w:r>
        <w:rPr>
          <w:rFonts w:hint="eastAsia" w:ascii="宋体" w:hAnsi="宋体" w:eastAsia="宋体" w:cs="宋体"/>
          <w:b w:val="0"/>
          <w:bCs w:val="0"/>
          <w:color w:val="auto"/>
          <w:sz w:val="24"/>
          <w:szCs w:val="24"/>
          <w:highlight w:val="none"/>
          <w:lang w:val="en-US" w:eastAsia="zh-CN"/>
        </w:rPr>
        <w:t>24小时内到达，一般故障2小时内抢修完毕；对于疑难故障，4 小时内提出解决方案。设备抢修、维修完毕，分析故障原因，并当场填写设备维修报告，提出防止设备出现同类故障的解决方案，提高设备正常使用时间。</w:t>
      </w:r>
    </w:p>
    <w:p w14:paraId="6C16E77B">
      <w:pPr>
        <w:numPr>
          <w:ilvl w:val="0"/>
          <w:numId w:val="2"/>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供应商作为系统搭建及设备提供主体，当设备故障无法现场处置时，需于4小时内提供同规格合格备件完成替换，故障设备及时返厂维修或者更换新设备，该过程产生的所有费用均由供应商自行承担。</w:t>
      </w:r>
    </w:p>
    <w:p w14:paraId="0F1F6373">
      <w:pPr>
        <w:numPr>
          <w:ilvl w:val="0"/>
          <w:numId w:val="2"/>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i w:val="0"/>
          <w:iCs w:val="0"/>
          <w:color w:val="auto"/>
          <w:kern w:val="2"/>
          <w:sz w:val="24"/>
          <w:szCs w:val="24"/>
          <w:highlight w:val="none"/>
          <w:u w:val="none"/>
          <w:lang w:val="en-US" w:eastAsia="zh-CN" w:bidi="ar"/>
        </w:rPr>
        <w:t>服务系统巡检</w:t>
      </w:r>
      <w:r>
        <w:rPr>
          <w:rFonts w:hint="eastAsia" w:ascii="宋体" w:hAnsi="宋体" w:eastAsia="宋体" w:cs="宋体"/>
          <w:b w:val="0"/>
          <w:bCs w:val="0"/>
          <w:color w:val="auto"/>
          <w:sz w:val="24"/>
          <w:szCs w:val="24"/>
          <w:highlight w:val="none"/>
          <w:lang w:val="en-US" w:eastAsia="zh-CN"/>
        </w:rPr>
        <w:t>：系统每日自动巡检，对问题点位进行报错，实时留存巡检时间、点位状态等记录，一旦识别故障隐患立即触发预警，推送处置工单，实现隐患早发现、早排除。</w:t>
      </w:r>
    </w:p>
    <w:p w14:paraId="57B6FC91">
      <w:pPr>
        <w:numPr>
          <w:ilvl w:val="0"/>
          <w:numId w:val="2"/>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供应商每旬对医院调整点位进行统一布防调整，每月实测全部点位运行情况，形成月度运行报告；建立系统故障隐患接报、排查、维修记录。交管理科室留档。</w:t>
      </w:r>
    </w:p>
    <w:p w14:paraId="78651BC8">
      <w:pPr>
        <w:numPr>
          <w:ilvl w:val="0"/>
          <w:numId w:val="2"/>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系统维护：供应商</w:t>
      </w:r>
      <w:r>
        <w:rPr>
          <w:rFonts w:hint="eastAsia" w:ascii="宋体" w:hAnsi="宋体" w:eastAsia="宋体" w:cs="宋体"/>
          <w:b w:val="0"/>
          <w:bCs w:val="0"/>
          <w:i w:val="0"/>
          <w:iCs w:val="0"/>
          <w:caps w:val="0"/>
          <w:color w:val="auto"/>
          <w:spacing w:val="0"/>
          <w:kern w:val="2"/>
          <w:sz w:val="24"/>
          <w:szCs w:val="24"/>
          <w:highlight w:val="none"/>
          <w:lang w:val="en-US" w:eastAsia="zh-CN" w:bidi="ar-SA"/>
        </w:rPr>
        <w:t>能够根据院区布局变动按照要求进行点位变更、调整</w:t>
      </w:r>
      <w:r>
        <w:rPr>
          <w:rFonts w:hint="eastAsia" w:ascii="宋体" w:hAnsi="宋体" w:eastAsia="宋体" w:cs="宋体"/>
          <w:color w:val="auto"/>
          <w:sz w:val="24"/>
          <w:szCs w:val="24"/>
          <w:highlight w:val="none"/>
          <w:lang w:val="en-US" w:eastAsia="zh-CN"/>
        </w:rPr>
        <w:t>。</w:t>
      </w:r>
    </w:p>
    <w:p w14:paraId="26E68DA4">
      <w:pPr>
        <w:numPr>
          <w:ilvl w:val="0"/>
          <w:numId w:val="2"/>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系统搭建及日常维护期间，严格遵守医院网络安全管理制度，严格适配医院现有网络运行条件开展作业，严禁任何危害医院网络安全、系统安全等行为，包括但不限于破坏医院网络系统、带入系统病毒、损毁或绕过防火墙等。如供应商违反本条款，采购人有权追究其全部违约责任，要求赔偿全部直接及间接经济损失，并向供应商收取合同总服务费10%的违约金，违约金不足以覆盖实际损失时，采购人有权就剩余损失向供应商继续追偿。</w:t>
      </w:r>
    </w:p>
    <w:p w14:paraId="5D9DA7A1">
      <w:pPr>
        <w:numPr>
          <w:ilvl w:val="0"/>
          <w:numId w:val="2"/>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系统搭建后，供应商提供交底资料，并进行技术培训。服务期内每半年至少为采购人提供技术培训一次，工作时间提供线上技术支持，必要时进行现场指导。 </w:t>
      </w:r>
    </w:p>
    <w:p w14:paraId="067E7B4D">
      <w:pPr>
        <w:numPr>
          <w:ilvl w:val="0"/>
          <w:numId w:val="2"/>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供应商及其工作人员在采购人的场所内应遵守采购人的规章、守则及包括安保措施在内的要求，除因完成服务而必需进入的场所外，未经采购人事先许可，供应商及其工作人员不得进入采购人的任何场所。</w:t>
      </w:r>
    </w:p>
    <w:p w14:paraId="785518A7">
      <w:pPr>
        <w:numPr>
          <w:ilvl w:val="0"/>
          <w:numId w:val="2"/>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供应商在未得到采购人的书面同意和授权时，不得擅自将履行本合同所知悉的采购人技术资料、商业秘密或其它机密资料泄露给任何其它个人、单位和组织。</w:t>
      </w:r>
    </w:p>
    <w:p w14:paraId="52E3FD51">
      <w:pPr>
        <w:rPr>
          <w:rFonts w:hint="eastAsia" w:ascii="仿宋" w:hAnsi="仿宋" w:eastAsia="仿宋" w:cs="仿宋"/>
          <w:color w:val="auto"/>
          <w:sz w:val="30"/>
          <w:szCs w:val="30"/>
          <w:highlight w:val="none"/>
          <w:lang w:val="en-US" w:eastAsia="zh-CN"/>
        </w:rPr>
      </w:pPr>
    </w:p>
    <w:p w14:paraId="1811DD45">
      <w:pPr>
        <w:spacing w:line="360" w:lineRule="auto"/>
        <w:ind w:firstLine="480" w:firstLineChars="200"/>
        <w:rPr>
          <w:rFonts w:hint="eastAsia" w:ascii="Times New Roman" w:hAnsi="Times New Roman" w:cs="Times New Roman"/>
          <w:color w:val="auto"/>
          <w:sz w:val="24"/>
          <w:szCs w:val="24"/>
          <w:highlight w:val="none"/>
          <w:lang w:val="en-US" w:eastAsia="zh-CN"/>
        </w:rPr>
      </w:pPr>
    </w:p>
    <w:p w14:paraId="7530A35E">
      <w:pPr>
        <w:spacing w:line="360" w:lineRule="auto"/>
        <w:ind w:firstLine="0" w:firstLineChars="0"/>
        <w:rPr>
          <w:rFonts w:hint="eastAsia" w:ascii="Times New Roman" w:hAnsi="Times New Roman" w:cs="Times New Roman"/>
          <w:color w:val="auto"/>
          <w:sz w:val="24"/>
          <w:szCs w:val="24"/>
          <w:highlight w:val="none"/>
          <w:lang w:val="en-US" w:eastAsia="zh-CN"/>
        </w:rPr>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pPr>
    </w:p>
    <w:p w14:paraId="367B7FB9">
      <w:pPr>
        <w:pStyle w:val="10"/>
        <w:shd w:val="clear" w:color="auto" w:fill="auto"/>
        <w:spacing w:line="240" w:lineRule="auto"/>
        <w:ind w:firstLine="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附件</w:t>
      </w:r>
      <w:r>
        <w:rPr>
          <w:rFonts w:hint="default"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lang w:val="en-US" w:eastAsia="zh-CN"/>
        </w:rPr>
        <w:t>：天津市滨海新区中医医院北塘院区一键报警终端服务项目考核表</w:t>
      </w:r>
    </w:p>
    <w:tbl>
      <w:tblPr>
        <w:tblStyle w:val="7"/>
        <w:tblW w:w="13969" w:type="dxa"/>
        <w:tblInd w:w="0" w:type="dxa"/>
        <w:tblLayout w:type="fixed"/>
        <w:tblCellMar>
          <w:top w:w="0" w:type="dxa"/>
          <w:left w:w="0" w:type="dxa"/>
          <w:bottom w:w="0" w:type="dxa"/>
          <w:right w:w="0" w:type="dxa"/>
        </w:tblCellMar>
      </w:tblPr>
      <w:tblGrid>
        <w:gridCol w:w="473"/>
        <w:gridCol w:w="3871"/>
        <w:gridCol w:w="3345"/>
        <w:gridCol w:w="1578"/>
        <w:gridCol w:w="957"/>
        <w:gridCol w:w="1062"/>
        <w:gridCol w:w="1892"/>
        <w:gridCol w:w="791"/>
      </w:tblGrid>
      <w:tr w14:paraId="5582D510">
        <w:tblPrEx>
          <w:tblCellMar>
            <w:top w:w="0" w:type="dxa"/>
            <w:left w:w="0" w:type="dxa"/>
            <w:bottom w:w="0" w:type="dxa"/>
            <w:right w:w="0" w:type="dxa"/>
          </w:tblCellMar>
        </w:tblPrEx>
        <w:trPr>
          <w:trHeight w:val="448" w:hRule="atLeast"/>
        </w:trPr>
        <w:tc>
          <w:tcPr>
            <w:tcW w:w="47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6AA5A5">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kern w:val="0"/>
                <w:sz w:val="22"/>
                <w:szCs w:val="22"/>
                <w:highlight w:val="none"/>
              </w:rPr>
              <w:t>序号</w:t>
            </w:r>
          </w:p>
        </w:tc>
        <w:tc>
          <w:tcPr>
            <w:tcW w:w="8794" w:type="dxa"/>
            <w:gridSpan w:val="3"/>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6BA882">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kern w:val="0"/>
                <w:sz w:val="22"/>
                <w:szCs w:val="22"/>
                <w:highlight w:val="none"/>
              </w:rPr>
              <w:t>扣</w:t>
            </w:r>
            <w:r>
              <w:rPr>
                <w:rFonts w:hint="eastAsia" w:ascii="仿宋_GB2312" w:hAnsi="仿宋_GB2312" w:eastAsia="仿宋_GB2312" w:cs="仿宋_GB2312"/>
                <w:b w:val="0"/>
                <w:bCs w:val="0"/>
                <w:color w:val="auto"/>
                <w:kern w:val="0"/>
                <w:sz w:val="22"/>
                <w:szCs w:val="22"/>
                <w:highlight w:val="none"/>
                <w:lang w:val="en-US" w:eastAsia="zh-CN"/>
              </w:rPr>
              <w:t>分</w:t>
            </w:r>
            <w:r>
              <w:rPr>
                <w:rFonts w:hint="eastAsia" w:ascii="仿宋_GB2312" w:hAnsi="仿宋_GB2312" w:eastAsia="仿宋_GB2312" w:cs="仿宋_GB2312"/>
                <w:b w:val="0"/>
                <w:bCs w:val="0"/>
                <w:color w:val="auto"/>
                <w:kern w:val="0"/>
                <w:sz w:val="22"/>
                <w:szCs w:val="22"/>
                <w:highlight w:val="none"/>
              </w:rPr>
              <w:t>项</w:t>
            </w:r>
          </w:p>
        </w:tc>
        <w:tc>
          <w:tcPr>
            <w:tcW w:w="95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7F4818">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kern w:val="0"/>
                <w:sz w:val="22"/>
                <w:szCs w:val="22"/>
                <w:highlight w:val="none"/>
                <w:lang w:val="en-US" w:eastAsia="zh-CN"/>
              </w:rPr>
              <w:t>单次</w:t>
            </w:r>
            <w:r>
              <w:rPr>
                <w:rFonts w:hint="eastAsia" w:ascii="仿宋_GB2312" w:hAnsi="仿宋_GB2312" w:eastAsia="仿宋_GB2312" w:cs="仿宋_GB2312"/>
                <w:b w:val="0"/>
                <w:bCs w:val="0"/>
                <w:color w:val="auto"/>
                <w:kern w:val="0"/>
                <w:sz w:val="22"/>
                <w:szCs w:val="22"/>
                <w:highlight w:val="none"/>
              </w:rPr>
              <w:t>分值</w:t>
            </w:r>
          </w:p>
        </w:tc>
        <w:tc>
          <w:tcPr>
            <w:tcW w:w="374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96D0CA">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kern w:val="0"/>
                <w:sz w:val="22"/>
                <w:szCs w:val="22"/>
                <w:highlight w:val="none"/>
              </w:rPr>
              <w:t>扣</w:t>
            </w:r>
            <w:r>
              <w:rPr>
                <w:rFonts w:hint="eastAsia" w:ascii="仿宋_GB2312" w:hAnsi="仿宋_GB2312" w:eastAsia="仿宋_GB2312" w:cs="仿宋_GB2312"/>
                <w:b w:val="0"/>
                <w:bCs w:val="0"/>
                <w:color w:val="auto"/>
                <w:kern w:val="0"/>
                <w:sz w:val="22"/>
                <w:szCs w:val="22"/>
                <w:highlight w:val="none"/>
                <w:lang w:val="en-US" w:eastAsia="zh-CN"/>
              </w:rPr>
              <w:t>分</w:t>
            </w:r>
            <w:r>
              <w:rPr>
                <w:rFonts w:hint="eastAsia" w:ascii="仿宋_GB2312" w:hAnsi="仿宋_GB2312" w:eastAsia="仿宋_GB2312" w:cs="仿宋_GB2312"/>
                <w:b w:val="0"/>
                <w:bCs w:val="0"/>
                <w:color w:val="auto"/>
                <w:kern w:val="0"/>
                <w:sz w:val="22"/>
                <w:szCs w:val="22"/>
                <w:highlight w:val="none"/>
              </w:rPr>
              <w:t>内容确认栏</w:t>
            </w:r>
          </w:p>
        </w:tc>
      </w:tr>
      <w:tr w14:paraId="6267E7C6">
        <w:tblPrEx>
          <w:tblCellMar>
            <w:top w:w="0" w:type="dxa"/>
            <w:left w:w="0" w:type="dxa"/>
            <w:bottom w:w="0" w:type="dxa"/>
            <w:right w:w="0" w:type="dxa"/>
          </w:tblCellMar>
        </w:tblPrEx>
        <w:trPr>
          <w:trHeight w:val="397" w:hRule="atLeast"/>
        </w:trPr>
        <w:tc>
          <w:tcPr>
            <w:tcW w:w="47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08C82A">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2"/>
                <w:szCs w:val="22"/>
                <w:highlight w:val="none"/>
              </w:rPr>
            </w:pPr>
          </w:p>
        </w:tc>
        <w:tc>
          <w:tcPr>
            <w:tcW w:w="8794" w:type="dxa"/>
            <w:gridSpan w:val="3"/>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461113">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2"/>
                <w:szCs w:val="22"/>
                <w:highlight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EA40A2">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2"/>
                <w:szCs w:val="22"/>
                <w:highlight w:val="none"/>
              </w:rPr>
            </w:pP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3C0E46">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lang w:eastAsia="zh-CN"/>
              </w:rPr>
            </w:pPr>
            <w:r>
              <w:rPr>
                <w:rFonts w:hint="eastAsia" w:ascii="仿宋_GB2312" w:hAnsi="仿宋_GB2312" w:eastAsia="仿宋_GB2312" w:cs="仿宋_GB2312"/>
                <w:b w:val="0"/>
                <w:bCs w:val="0"/>
                <w:color w:val="auto"/>
                <w:kern w:val="0"/>
                <w:sz w:val="22"/>
                <w:szCs w:val="22"/>
                <w:highlight w:val="none"/>
              </w:rPr>
              <w:t>时间</w:t>
            </w:r>
            <w:r>
              <w:rPr>
                <w:rFonts w:hint="eastAsia" w:ascii="仿宋_GB2312" w:hAnsi="仿宋_GB2312" w:eastAsia="仿宋_GB2312" w:cs="仿宋_GB2312"/>
                <w:b w:val="0"/>
                <w:bCs w:val="0"/>
                <w:color w:val="auto"/>
                <w:kern w:val="0"/>
                <w:sz w:val="22"/>
                <w:szCs w:val="22"/>
                <w:highlight w:val="none"/>
                <w:lang w:val="en-US" w:eastAsia="zh-CN"/>
              </w:rPr>
              <w:t>点位</w:t>
            </w: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EDADD9">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kern w:val="0"/>
                <w:sz w:val="22"/>
                <w:szCs w:val="22"/>
                <w:highlight w:val="none"/>
              </w:rPr>
              <w:t>事项</w:t>
            </w: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F75BE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2"/>
                <w:szCs w:val="22"/>
                <w:highlight w:val="none"/>
              </w:rPr>
            </w:pPr>
            <w:r>
              <w:rPr>
                <w:rFonts w:hint="eastAsia" w:ascii="仿宋_GB2312" w:hAnsi="仿宋_GB2312" w:eastAsia="仿宋_GB2312" w:cs="仿宋_GB2312"/>
                <w:b w:val="0"/>
                <w:bCs w:val="0"/>
                <w:color w:val="auto"/>
                <w:kern w:val="0"/>
                <w:sz w:val="22"/>
                <w:szCs w:val="22"/>
                <w:highlight w:val="none"/>
              </w:rPr>
              <w:t>扣分数</w:t>
            </w:r>
          </w:p>
        </w:tc>
      </w:tr>
      <w:tr w14:paraId="48E08D53">
        <w:tblPrEx>
          <w:tblCellMar>
            <w:top w:w="0" w:type="dxa"/>
            <w:left w:w="0" w:type="dxa"/>
            <w:bottom w:w="0" w:type="dxa"/>
            <w:right w:w="0" w:type="dxa"/>
          </w:tblCellMar>
        </w:tblPrEx>
        <w:trPr>
          <w:trHeight w:val="448"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8EE244">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1</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5BFED3">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lang w:eastAsia="zh-CN"/>
              </w:rPr>
              <w:t>供应商</w:t>
            </w:r>
            <w:r>
              <w:rPr>
                <w:rFonts w:hint="eastAsia" w:ascii="仿宋_GB2312" w:hAnsi="仿宋_GB2312" w:eastAsia="仿宋_GB2312" w:cs="仿宋_GB2312"/>
                <w:b w:val="0"/>
                <w:bCs w:val="0"/>
                <w:color w:val="auto"/>
                <w:kern w:val="0"/>
                <w:sz w:val="20"/>
                <w:highlight w:val="none"/>
              </w:rPr>
              <w:t>负责日常设施、设备运行状态检查、巡视并记录</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06F0EE">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lang w:val="en-US" w:eastAsia="zh-CN"/>
              </w:rPr>
              <w:t>台账</w:t>
            </w:r>
            <w:r>
              <w:rPr>
                <w:rFonts w:hint="eastAsia" w:ascii="仿宋_GB2312" w:hAnsi="仿宋_GB2312" w:eastAsia="仿宋_GB2312" w:cs="仿宋_GB2312"/>
                <w:b w:val="0"/>
                <w:bCs w:val="0"/>
                <w:color w:val="auto"/>
                <w:kern w:val="0"/>
                <w:sz w:val="20"/>
                <w:highlight w:val="none"/>
              </w:rPr>
              <w:t>记录不完整或缺项</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1C8BE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发现一项扣2分</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52D36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default" w:ascii="仿宋_GB2312" w:hAnsi="仿宋_GB2312" w:eastAsia="仿宋_GB2312" w:cs="仿宋_GB2312"/>
                <w:b w:val="0"/>
                <w:bCs w:val="0"/>
                <w:color w:val="auto"/>
                <w:kern w:val="0"/>
                <w:sz w:val="20"/>
                <w:highlight w:val="none"/>
                <w:lang w:val="en-US"/>
              </w:rPr>
              <w:t>2</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0C9DD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BF6111">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D87DA7">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r>
      <w:tr w14:paraId="547A3E24">
        <w:tblPrEx>
          <w:tblCellMar>
            <w:top w:w="0" w:type="dxa"/>
            <w:left w:w="0" w:type="dxa"/>
            <w:bottom w:w="0" w:type="dxa"/>
            <w:right w:w="0" w:type="dxa"/>
          </w:tblCellMar>
        </w:tblPrEx>
        <w:trPr>
          <w:trHeight w:val="448"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48802C">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2</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02FF14">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日常故障维修不及时</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FA6610">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kern w:val="0"/>
                <w:sz w:val="20"/>
                <w:highlight w:val="none"/>
              </w:rPr>
              <w:t>超过</w:t>
            </w:r>
            <w:r>
              <w:rPr>
                <w:rFonts w:hint="eastAsia" w:ascii="仿宋_GB2312" w:hAnsi="仿宋_GB2312" w:eastAsia="仿宋_GB2312" w:cs="仿宋_GB2312"/>
                <w:b w:val="0"/>
                <w:bCs w:val="0"/>
                <w:color w:val="auto"/>
                <w:kern w:val="0"/>
                <w:sz w:val="20"/>
                <w:highlight w:val="none"/>
                <w:lang w:eastAsia="zh-CN"/>
              </w:rPr>
              <w:t>采购人</w:t>
            </w:r>
            <w:r>
              <w:rPr>
                <w:rFonts w:hint="eastAsia" w:ascii="仿宋_GB2312" w:hAnsi="仿宋_GB2312" w:eastAsia="仿宋_GB2312" w:cs="仿宋_GB2312"/>
                <w:b w:val="0"/>
                <w:bCs w:val="0"/>
                <w:color w:val="auto"/>
                <w:kern w:val="0"/>
                <w:sz w:val="20"/>
                <w:highlight w:val="none"/>
              </w:rPr>
              <w:t>规定</w:t>
            </w:r>
            <w:r>
              <w:rPr>
                <w:rFonts w:hint="eastAsia" w:ascii="仿宋_GB2312" w:hAnsi="仿宋_GB2312" w:eastAsia="仿宋_GB2312" w:cs="仿宋_GB2312"/>
                <w:b w:val="0"/>
                <w:bCs w:val="0"/>
                <w:color w:val="auto"/>
                <w:kern w:val="0"/>
                <w:sz w:val="20"/>
                <w:highlight w:val="none"/>
                <w:lang w:val="en-US" w:eastAsia="zh-CN"/>
              </w:rPr>
              <w:t>维修</w:t>
            </w:r>
            <w:r>
              <w:rPr>
                <w:rFonts w:hint="eastAsia" w:ascii="仿宋_GB2312" w:hAnsi="仿宋_GB2312" w:eastAsia="仿宋_GB2312" w:cs="仿宋_GB2312"/>
                <w:b w:val="0"/>
                <w:bCs w:val="0"/>
                <w:color w:val="auto"/>
                <w:kern w:val="0"/>
                <w:sz w:val="20"/>
                <w:highlight w:val="none"/>
              </w:rPr>
              <w:t>时</w:t>
            </w:r>
            <w:r>
              <w:rPr>
                <w:rFonts w:hint="eastAsia" w:ascii="仿宋_GB2312" w:hAnsi="仿宋_GB2312" w:eastAsia="仿宋_GB2312" w:cs="仿宋_GB2312"/>
                <w:b w:val="0"/>
                <w:bCs w:val="0"/>
                <w:color w:val="auto"/>
                <w:kern w:val="0"/>
                <w:sz w:val="20"/>
                <w:highlight w:val="none"/>
                <w:lang w:val="en-US" w:eastAsia="zh-CN"/>
              </w:rPr>
              <w:t>限</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2F375B">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超过</w:t>
            </w:r>
            <w:r>
              <w:rPr>
                <w:rFonts w:hint="eastAsia" w:ascii="仿宋_GB2312" w:hAnsi="仿宋_GB2312" w:eastAsia="仿宋_GB2312" w:cs="仿宋_GB2312"/>
                <w:b w:val="0"/>
                <w:bCs w:val="0"/>
                <w:color w:val="auto"/>
                <w:kern w:val="0"/>
                <w:sz w:val="20"/>
                <w:highlight w:val="none"/>
                <w:lang w:val="en-US" w:eastAsia="zh-CN"/>
              </w:rPr>
              <w:t>一次</w:t>
            </w:r>
            <w:r>
              <w:rPr>
                <w:rFonts w:hint="eastAsia" w:ascii="仿宋_GB2312" w:hAnsi="仿宋_GB2312" w:eastAsia="仿宋_GB2312" w:cs="仿宋_GB2312"/>
                <w:b w:val="0"/>
                <w:bCs w:val="0"/>
                <w:color w:val="auto"/>
                <w:kern w:val="0"/>
                <w:sz w:val="20"/>
                <w:highlight w:val="none"/>
              </w:rPr>
              <w:t>扣2分</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47FB92">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default" w:ascii="仿宋_GB2312" w:hAnsi="仿宋_GB2312" w:eastAsia="仿宋_GB2312" w:cs="仿宋_GB2312"/>
                <w:b w:val="0"/>
                <w:bCs w:val="0"/>
                <w:color w:val="auto"/>
                <w:kern w:val="0"/>
                <w:sz w:val="20"/>
                <w:highlight w:val="none"/>
                <w:lang w:val="en-US"/>
              </w:rPr>
              <w:t>2</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142901">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63F35D">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B3995D">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r>
      <w:tr w14:paraId="5AF76D05">
        <w:tblPrEx>
          <w:tblCellMar>
            <w:top w:w="0" w:type="dxa"/>
            <w:left w:w="0" w:type="dxa"/>
            <w:bottom w:w="0" w:type="dxa"/>
            <w:right w:w="0" w:type="dxa"/>
          </w:tblCellMar>
        </w:tblPrEx>
        <w:trPr>
          <w:trHeight w:val="695"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5CB7EA">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3</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8956B">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紧急故障处理维修及时准确</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654854">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kern w:val="0"/>
                <w:sz w:val="20"/>
                <w:highlight w:val="none"/>
              </w:rPr>
              <w:t>小型维修2小时内完成，</w:t>
            </w:r>
            <w:r>
              <w:rPr>
                <w:rFonts w:hint="eastAsia" w:ascii="仿宋_GB2312" w:hAnsi="仿宋_GB2312" w:eastAsia="仿宋_GB2312" w:cs="仿宋_GB2312"/>
                <w:b w:val="0"/>
                <w:bCs w:val="0"/>
                <w:color w:val="auto"/>
                <w:kern w:val="0"/>
                <w:sz w:val="20"/>
                <w:highlight w:val="none"/>
                <w:lang w:val="en-US" w:eastAsia="zh-CN"/>
              </w:rPr>
              <w:t>复杂</w:t>
            </w:r>
            <w:r>
              <w:rPr>
                <w:rFonts w:hint="eastAsia" w:ascii="仿宋_GB2312" w:hAnsi="仿宋_GB2312" w:eastAsia="仿宋_GB2312" w:cs="仿宋_GB2312"/>
                <w:b w:val="0"/>
                <w:bCs w:val="0"/>
                <w:color w:val="auto"/>
                <w:kern w:val="0"/>
                <w:sz w:val="20"/>
                <w:highlight w:val="none"/>
              </w:rPr>
              <w:t>维修4小时内</w:t>
            </w:r>
            <w:r>
              <w:rPr>
                <w:rFonts w:hint="eastAsia" w:ascii="仿宋_GB2312" w:hAnsi="仿宋_GB2312" w:eastAsia="仿宋_GB2312" w:cs="仿宋_GB2312"/>
                <w:b w:val="0"/>
                <w:bCs w:val="0"/>
                <w:color w:val="auto"/>
                <w:kern w:val="0"/>
                <w:sz w:val="20"/>
                <w:highlight w:val="none"/>
                <w:lang w:val="en-US" w:eastAsia="zh-CN"/>
              </w:rPr>
              <w:t>提出方案</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2B1E7D">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超过时间一次每次扣5分</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AAC09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default" w:ascii="仿宋_GB2312" w:hAnsi="仿宋_GB2312" w:eastAsia="仿宋_GB2312" w:cs="仿宋_GB2312"/>
                <w:b w:val="0"/>
                <w:bCs w:val="0"/>
                <w:color w:val="auto"/>
                <w:kern w:val="0"/>
                <w:sz w:val="20"/>
                <w:highlight w:val="none"/>
                <w:lang w:val="en-US"/>
              </w:rPr>
              <w:t>5</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8A844B">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744C4">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D05797">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r>
      <w:tr w14:paraId="7BDC6D1A">
        <w:tblPrEx>
          <w:tblCellMar>
            <w:top w:w="0" w:type="dxa"/>
            <w:left w:w="0" w:type="dxa"/>
            <w:bottom w:w="0" w:type="dxa"/>
            <w:right w:w="0" w:type="dxa"/>
          </w:tblCellMar>
        </w:tblPrEx>
        <w:trPr>
          <w:trHeight w:val="448"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569867">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4</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D2AC17">
            <w:pPr>
              <w:keepNext w:val="0"/>
              <w:keepLines w:val="0"/>
              <w:pageBreakBefore w:val="0"/>
              <w:widowControl/>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日常维护</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3F486">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sz w:val="20"/>
                <w:highlight w:val="none"/>
                <w:lang w:val="en-US" w:eastAsia="zh-CN"/>
              </w:rPr>
              <w:t>不能及时按照变动变更、调整点位</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6FF6E1">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每</w:t>
            </w:r>
            <w:r>
              <w:rPr>
                <w:rFonts w:hint="eastAsia" w:ascii="仿宋_GB2312" w:hAnsi="仿宋_GB2312" w:eastAsia="仿宋_GB2312" w:cs="仿宋_GB2312"/>
                <w:b w:val="0"/>
                <w:bCs w:val="0"/>
                <w:color w:val="auto"/>
                <w:kern w:val="0"/>
                <w:sz w:val="20"/>
                <w:highlight w:val="none"/>
                <w:lang w:val="en-US" w:eastAsia="zh-CN"/>
              </w:rPr>
              <w:t>点位</w:t>
            </w:r>
            <w:r>
              <w:rPr>
                <w:rFonts w:hint="eastAsia" w:ascii="仿宋_GB2312" w:hAnsi="仿宋_GB2312" w:eastAsia="仿宋_GB2312" w:cs="仿宋_GB2312"/>
                <w:b w:val="0"/>
                <w:bCs w:val="0"/>
                <w:color w:val="auto"/>
                <w:kern w:val="0"/>
                <w:sz w:val="20"/>
                <w:highlight w:val="none"/>
              </w:rPr>
              <w:t>扣2分</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C1339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default" w:ascii="仿宋_GB2312" w:hAnsi="仿宋_GB2312" w:eastAsia="仿宋_GB2312" w:cs="仿宋_GB2312"/>
                <w:b w:val="0"/>
                <w:bCs w:val="0"/>
                <w:color w:val="auto"/>
                <w:kern w:val="0"/>
                <w:sz w:val="20"/>
                <w:highlight w:val="none"/>
                <w:lang w:val="en-US"/>
              </w:rPr>
              <w:t>2</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CDE18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D95F93">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72B22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val="0"/>
                <w:color w:val="auto"/>
                <w:sz w:val="24"/>
                <w:szCs w:val="24"/>
                <w:highlight w:val="none"/>
              </w:rPr>
            </w:pPr>
          </w:p>
        </w:tc>
      </w:tr>
      <w:tr w14:paraId="6F5B870B">
        <w:tblPrEx>
          <w:tblCellMar>
            <w:top w:w="0" w:type="dxa"/>
            <w:left w:w="0" w:type="dxa"/>
            <w:bottom w:w="0" w:type="dxa"/>
            <w:right w:w="0" w:type="dxa"/>
          </w:tblCellMar>
        </w:tblPrEx>
        <w:trPr>
          <w:trHeight w:val="840"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F4679B">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5</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5833B8">
            <w:pPr>
              <w:keepNext w:val="0"/>
              <w:keepLines w:val="0"/>
              <w:pageBreakBefore w:val="0"/>
              <w:widowControl/>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val="0"/>
                <w:color w:val="auto"/>
                <w:kern w:val="2"/>
                <w:sz w:val="20"/>
                <w:szCs w:val="22"/>
                <w:highlight w:val="none"/>
                <w:lang w:val="en-US" w:eastAsia="zh-CN" w:bidi="ar-SA"/>
              </w:rPr>
            </w:pPr>
            <w:r>
              <w:rPr>
                <w:rFonts w:hint="eastAsia" w:ascii="仿宋_GB2312" w:hAnsi="仿宋_GB2312" w:eastAsia="仿宋_GB2312" w:cs="仿宋_GB2312"/>
                <w:b w:val="0"/>
                <w:bCs w:val="0"/>
                <w:color w:val="auto"/>
                <w:kern w:val="0"/>
                <w:sz w:val="20"/>
                <w:highlight w:val="none"/>
                <w:lang w:val="en-US" w:eastAsia="zh-CN"/>
              </w:rPr>
              <w:t>每年不少于</w:t>
            </w:r>
            <w:r>
              <w:rPr>
                <w:rFonts w:hint="default" w:ascii="仿宋_GB2312" w:hAnsi="仿宋_GB2312" w:eastAsia="仿宋_GB2312" w:cs="仿宋_GB2312"/>
                <w:b w:val="0"/>
                <w:bCs w:val="0"/>
                <w:color w:val="auto"/>
                <w:kern w:val="0"/>
                <w:sz w:val="20"/>
                <w:highlight w:val="none"/>
                <w:lang w:val="en-US" w:eastAsia="zh-CN"/>
              </w:rPr>
              <w:t>2</w:t>
            </w:r>
            <w:r>
              <w:rPr>
                <w:rFonts w:hint="eastAsia" w:ascii="仿宋_GB2312" w:hAnsi="仿宋_GB2312" w:eastAsia="仿宋_GB2312" w:cs="仿宋_GB2312"/>
                <w:b w:val="0"/>
                <w:bCs w:val="0"/>
                <w:color w:val="auto"/>
                <w:kern w:val="0"/>
                <w:sz w:val="20"/>
                <w:highlight w:val="none"/>
                <w:lang w:val="en-US" w:eastAsia="zh-CN"/>
              </w:rPr>
              <w:t>次技术培训</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F96683">
            <w:pPr>
              <w:keepNext w:val="0"/>
              <w:keepLines w:val="0"/>
              <w:pageBreakBefore w:val="0"/>
              <w:widowControl/>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val="0"/>
                <w:color w:val="auto"/>
                <w:kern w:val="2"/>
                <w:sz w:val="20"/>
                <w:szCs w:val="22"/>
                <w:highlight w:val="none"/>
                <w:lang w:val="en-US" w:eastAsia="zh-CN" w:bidi="ar-SA"/>
              </w:rPr>
            </w:pPr>
            <w:r>
              <w:rPr>
                <w:rFonts w:hint="eastAsia" w:ascii="仿宋_GB2312" w:hAnsi="仿宋_GB2312" w:eastAsia="仿宋_GB2312" w:cs="仿宋_GB2312"/>
                <w:b w:val="0"/>
                <w:bCs w:val="0"/>
                <w:color w:val="auto"/>
                <w:kern w:val="0"/>
                <w:sz w:val="20"/>
                <w:highlight w:val="none"/>
                <w:lang w:val="en-US" w:eastAsia="zh-CN"/>
              </w:rPr>
              <w:t>未按照约定培训</w:t>
            </w:r>
            <w:r>
              <w:rPr>
                <w:rFonts w:hint="eastAsia" w:ascii="仿宋_GB2312" w:hAnsi="仿宋_GB2312" w:eastAsia="仿宋_GB2312" w:cs="仿宋_GB2312"/>
                <w:b w:val="0"/>
                <w:bCs w:val="0"/>
                <w:color w:val="auto"/>
                <w:sz w:val="20"/>
                <w:highlight w:val="none"/>
                <w:lang w:val="en-US" w:eastAsia="zh-CN"/>
              </w:rPr>
              <w:t>及相关材料</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1225FB">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发现一</w:t>
            </w:r>
            <w:r>
              <w:rPr>
                <w:rFonts w:hint="eastAsia" w:ascii="仿宋_GB2312" w:hAnsi="仿宋_GB2312" w:eastAsia="仿宋_GB2312" w:cs="仿宋_GB2312"/>
                <w:b w:val="0"/>
                <w:bCs w:val="0"/>
                <w:color w:val="auto"/>
                <w:kern w:val="0"/>
                <w:sz w:val="20"/>
                <w:highlight w:val="none"/>
                <w:lang w:val="en-US" w:eastAsia="zh-CN"/>
              </w:rPr>
              <w:t>项</w:t>
            </w:r>
            <w:r>
              <w:rPr>
                <w:rFonts w:hint="eastAsia" w:ascii="仿宋_GB2312" w:hAnsi="仿宋_GB2312" w:eastAsia="仿宋_GB2312" w:cs="仿宋_GB2312"/>
                <w:b w:val="0"/>
                <w:bCs w:val="0"/>
                <w:color w:val="auto"/>
                <w:kern w:val="0"/>
                <w:sz w:val="20"/>
                <w:highlight w:val="none"/>
              </w:rPr>
              <w:t>扣</w:t>
            </w:r>
            <w:r>
              <w:rPr>
                <w:rFonts w:hint="eastAsia" w:ascii="仿宋_GB2312" w:hAnsi="仿宋_GB2312" w:eastAsia="仿宋_GB2312" w:cs="仿宋_GB2312"/>
                <w:b w:val="0"/>
                <w:bCs w:val="0"/>
                <w:color w:val="auto"/>
                <w:kern w:val="0"/>
                <w:sz w:val="20"/>
                <w:highlight w:val="none"/>
                <w:lang w:val="en-US" w:eastAsia="zh-CN"/>
              </w:rPr>
              <w:t>10</w:t>
            </w:r>
            <w:r>
              <w:rPr>
                <w:rFonts w:hint="eastAsia" w:ascii="仿宋_GB2312" w:hAnsi="仿宋_GB2312" w:eastAsia="仿宋_GB2312" w:cs="仿宋_GB2312"/>
                <w:b w:val="0"/>
                <w:bCs w:val="0"/>
                <w:color w:val="auto"/>
                <w:kern w:val="0"/>
                <w:sz w:val="20"/>
                <w:highlight w:val="none"/>
              </w:rPr>
              <w:t>分</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A59BDB">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10</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55AF7E">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5FE78F">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AC217F">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r>
      <w:tr w14:paraId="65996790">
        <w:tblPrEx>
          <w:tblCellMar>
            <w:top w:w="0" w:type="dxa"/>
            <w:left w:w="0" w:type="dxa"/>
            <w:bottom w:w="0" w:type="dxa"/>
            <w:right w:w="0" w:type="dxa"/>
          </w:tblCellMar>
        </w:tblPrEx>
        <w:trPr>
          <w:trHeight w:val="448"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C4DA09">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6</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435BA">
            <w:pPr>
              <w:keepNext w:val="0"/>
              <w:keepLines w:val="0"/>
              <w:pageBreakBefore w:val="0"/>
              <w:widowControl/>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val="0"/>
                <w:color w:val="auto"/>
                <w:kern w:val="2"/>
                <w:sz w:val="20"/>
                <w:szCs w:val="22"/>
                <w:highlight w:val="none"/>
                <w:lang w:val="en-US" w:eastAsia="zh-CN" w:bidi="ar-SA"/>
              </w:rPr>
            </w:pPr>
            <w:r>
              <w:rPr>
                <w:rFonts w:hint="eastAsia" w:ascii="仿宋_GB2312" w:hAnsi="仿宋_GB2312" w:eastAsia="仿宋_GB2312" w:cs="仿宋_GB2312"/>
                <w:b w:val="0"/>
                <w:bCs w:val="0"/>
                <w:color w:val="auto"/>
                <w:kern w:val="0"/>
                <w:sz w:val="20"/>
                <w:highlight w:val="none"/>
                <w:lang w:val="en-US" w:eastAsia="zh-CN"/>
              </w:rPr>
              <w:t>现场管理</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FEA682">
            <w:pPr>
              <w:keepNext w:val="0"/>
              <w:keepLines w:val="0"/>
              <w:pageBreakBefore w:val="0"/>
              <w:widowControl/>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val="0"/>
                <w:color w:val="auto"/>
                <w:kern w:val="2"/>
                <w:sz w:val="20"/>
                <w:szCs w:val="22"/>
                <w:highlight w:val="none"/>
                <w:lang w:val="en-US" w:eastAsia="zh-CN" w:bidi="ar-SA"/>
              </w:rPr>
            </w:pPr>
            <w:r>
              <w:rPr>
                <w:rFonts w:hint="eastAsia" w:ascii="仿宋_GB2312" w:hAnsi="仿宋_GB2312" w:eastAsia="仿宋_GB2312" w:cs="仿宋_GB2312"/>
                <w:b w:val="0"/>
                <w:bCs w:val="0"/>
                <w:color w:val="auto"/>
                <w:kern w:val="0"/>
                <w:sz w:val="20"/>
                <w:highlight w:val="none"/>
                <w:lang w:val="en-US" w:eastAsia="zh-CN"/>
              </w:rPr>
              <w:t>违反医院规章制度及未按照采购人允许擅自进入任何场所</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F0A397">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0"/>
                <w:highlight w:val="none"/>
              </w:rPr>
            </w:pPr>
            <w:r>
              <w:rPr>
                <w:rFonts w:hint="eastAsia" w:ascii="仿宋_GB2312" w:hAnsi="仿宋_GB2312" w:eastAsia="仿宋_GB2312" w:cs="仿宋_GB2312"/>
                <w:b w:val="0"/>
                <w:bCs w:val="0"/>
                <w:color w:val="auto"/>
                <w:kern w:val="0"/>
                <w:sz w:val="20"/>
                <w:highlight w:val="none"/>
              </w:rPr>
              <w:t>超过</w:t>
            </w:r>
            <w:r>
              <w:rPr>
                <w:rFonts w:hint="eastAsia" w:ascii="仿宋_GB2312" w:hAnsi="仿宋_GB2312" w:eastAsia="仿宋_GB2312" w:cs="仿宋_GB2312"/>
                <w:b w:val="0"/>
                <w:bCs w:val="0"/>
                <w:color w:val="auto"/>
                <w:kern w:val="0"/>
                <w:sz w:val="20"/>
                <w:highlight w:val="none"/>
                <w:lang w:eastAsia="zh-CN"/>
              </w:rPr>
              <w:t>采购人</w:t>
            </w:r>
            <w:r>
              <w:rPr>
                <w:rFonts w:hint="eastAsia" w:ascii="仿宋_GB2312" w:hAnsi="仿宋_GB2312" w:eastAsia="仿宋_GB2312" w:cs="仿宋_GB2312"/>
                <w:b w:val="0"/>
                <w:bCs w:val="0"/>
                <w:color w:val="auto"/>
                <w:kern w:val="0"/>
                <w:sz w:val="20"/>
                <w:highlight w:val="none"/>
              </w:rPr>
              <w:t>规定时间一次扣</w:t>
            </w:r>
            <w:r>
              <w:rPr>
                <w:rFonts w:hint="default" w:ascii="仿宋_GB2312" w:hAnsi="仿宋_GB2312" w:eastAsia="仿宋_GB2312" w:cs="仿宋_GB2312"/>
                <w:b w:val="0"/>
                <w:bCs w:val="0"/>
                <w:color w:val="auto"/>
                <w:kern w:val="0"/>
                <w:sz w:val="20"/>
                <w:highlight w:val="none"/>
                <w:lang w:val="en-US"/>
              </w:rPr>
              <w:t>10</w:t>
            </w:r>
            <w:r>
              <w:rPr>
                <w:rFonts w:hint="eastAsia" w:ascii="仿宋_GB2312" w:hAnsi="仿宋_GB2312" w:eastAsia="仿宋_GB2312" w:cs="仿宋_GB2312"/>
                <w:b w:val="0"/>
                <w:bCs w:val="0"/>
                <w:color w:val="auto"/>
                <w:kern w:val="0"/>
                <w:sz w:val="20"/>
                <w:highlight w:val="none"/>
              </w:rPr>
              <w:t>分</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C9F2D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val="0"/>
                <w:color w:val="auto"/>
                <w:sz w:val="20"/>
                <w:highlight w:val="none"/>
                <w:lang w:val="en-US"/>
              </w:rPr>
            </w:pPr>
            <w:r>
              <w:rPr>
                <w:rFonts w:hint="default" w:ascii="仿宋_GB2312" w:hAnsi="仿宋_GB2312" w:eastAsia="仿宋_GB2312" w:cs="仿宋_GB2312"/>
                <w:b w:val="0"/>
                <w:bCs w:val="0"/>
                <w:color w:val="auto"/>
                <w:kern w:val="0"/>
                <w:sz w:val="20"/>
                <w:highlight w:val="none"/>
                <w:lang w:val="en-US"/>
              </w:rPr>
              <w:t>10</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68A5BF">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5E805">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238C95">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r>
      <w:tr w14:paraId="7897D2E6">
        <w:tblPrEx>
          <w:tblCellMar>
            <w:top w:w="0" w:type="dxa"/>
            <w:left w:w="0" w:type="dxa"/>
            <w:bottom w:w="0" w:type="dxa"/>
            <w:right w:w="0" w:type="dxa"/>
          </w:tblCellMar>
        </w:tblPrEx>
        <w:trPr>
          <w:trHeight w:val="787" w:hRule="atLeast"/>
        </w:trPr>
        <w:tc>
          <w:tcPr>
            <w:tcW w:w="4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F5319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rPr>
              <w:t>7</w:t>
            </w:r>
          </w:p>
        </w:tc>
        <w:tc>
          <w:tcPr>
            <w:tcW w:w="3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29434E">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val="0"/>
                <w:color w:val="auto"/>
                <w:kern w:val="2"/>
                <w:sz w:val="20"/>
                <w:szCs w:val="22"/>
                <w:highlight w:val="none"/>
                <w:lang w:val="en-US" w:eastAsia="zh-CN" w:bidi="ar-SA"/>
              </w:rPr>
            </w:pPr>
            <w:r>
              <w:rPr>
                <w:rFonts w:hint="eastAsia" w:ascii="仿宋_GB2312" w:hAnsi="仿宋_GB2312" w:eastAsia="仿宋_GB2312" w:cs="仿宋_GB2312"/>
                <w:b w:val="0"/>
                <w:bCs w:val="0"/>
                <w:color w:val="auto"/>
                <w:sz w:val="20"/>
                <w:highlight w:val="none"/>
                <w:lang w:val="en-US" w:eastAsia="zh-CN"/>
              </w:rPr>
              <w:t>履行保密协议</w:t>
            </w:r>
          </w:p>
        </w:tc>
        <w:tc>
          <w:tcPr>
            <w:tcW w:w="3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0A941F">
            <w:pPr>
              <w:keepNext w:val="0"/>
              <w:keepLines w:val="0"/>
              <w:pageBreakBefore w:val="0"/>
              <w:widowControl/>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val="0"/>
                <w:color w:val="auto"/>
                <w:kern w:val="2"/>
                <w:sz w:val="20"/>
                <w:szCs w:val="22"/>
                <w:highlight w:val="none"/>
                <w:lang w:val="en-US" w:eastAsia="zh-CN" w:bidi="ar-SA"/>
              </w:rPr>
            </w:pPr>
            <w:r>
              <w:rPr>
                <w:rFonts w:hint="eastAsia" w:ascii="仿宋_GB2312" w:hAnsi="仿宋_GB2312" w:eastAsia="仿宋_GB2312" w:cs="仿宋_GB2312"/>
                <w:b w:val="0"/>
                <w:bCs w:val="0"/>
                <w:color w:val="auto"/>
                <w:sz w:val="20"/>
                <w:highlight w:val="none"/>
                <w:lang w:val="en-US" w:eastAsia="zh-CN"/>
              </w:rPr>
              <w:t>泄露采购人技术资料、商业秘密等行为</w:t>
            </w:r>
          </w:p>
        </w:tc>
        <w:tc>
          <w:tcPr>
            <w:tcW w:w="1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0981B0">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kern w:val="0"/>
                <w:sz w:val="20"/>
                <w:highlight w:val="none"/>
              </w:rPr>
              <w:t>发现一</w:t>
            </w:r>
            <w:r>
              <w:rPr>
                <w:rFonts w:hint="eastAsia" w:ascii="仿宋_GB2312" w:hAnsi="仿宋_GB2312" w:eastAsia="仿宋_GB2312" w:cs="仿宋_GB2312"/>
                <w:b w:val="0"/>
                <w:bCs w:val="0"/>
                <w:color w:val="auto"/>
                <w:kern w:val="0"/>
                <w:sz w:val="20"/>
                <w:highlight w:val="none"/>
                <w:lang w:val="en-US" w:eastAsia="zh-CN"/>
              </w:rPr>
              <w:t>次</w:t>
            </w:r>
            <w:r>
              <w:rPr>
                <w:rFonts w:hint="eastAsia" w:ascii="仿宋_GB2312" w:hAnsi="仿宋_GB2312" w:eastAsia="仿宋_GB2312" w:cs="仿宋_GB2312"/>
                <w:b w:val="0"/>
                <w:bCs w:val="0"/>
                <w:color w:val="auto"/>
                <w:kern w:val="0"/>
                <w:sz w:val="20"/>
                <w:highlight w:val="none"/>
              </w:rPr>
              <w:t>扣</w:t>
            </w:r>
            <w:r>
              <w:rPr>
                <w:rFonts w:hint="eastAsia" w:ascii="仿宋_GB2312" w:hAnsi="仿宋_GB2312" w:eastAsia="仿宋_GB2312" w:cs="仿宋_GB2312"/>
                <w:b w:val="0"/>
                <w:bCs w:val="0"/>
                <w:color w:val="auto"/>
                <w:kern w:val="0"/>
                <w:sz w:val="20"/>
                <w:highlight w:val="none"/>
                <w:lang w:val="en-US" w:eastAsia="zh-CN"/>
              </w:rPr>
              <w:t>10</w:t>
            </w:r>
            <w:r>
              <w:rPr>
                <w:rFonts w:hint="eastAsia" w:ascii="仿宋_GB2312" w:hAnsi="仿宋_GB2312" w:eastAsia="仿宋_GB2312" w:cs="仿宋_GB2312"/>
                <w:b w:val="0"/>
                <w:bCs w:val="0"/>
                <w:color w:val="auto"/>
                <w:kern w:val="0"/>
                <w:sz w:val="20"/>
                <w:highlight w:val="none"/>
              </w:rPr>
              <w:t>分</w:t>
            </w:r>
            <w:r>
              <w:rPr>
                <w:rFonts w:hint="eastAsia" w:ascii="仿宋_GB2312" w:hAnsi="仿宋_GB2312" w:eastAsia="仿宋_GB2312" w:cs="仿宋_GB2312"/>
                <w:b w:val="0"/>
                <w:bCs w:val="0"/>
                <w:color w:val="auto"/>
                <w:kern w:val="0"/>
                <w:sz w:val="20"/>
                <w:highlight w:val="none"/>
                <w:lang w:val="en-US" w:eastAsia="zh-CN"/>
              </w:rPr>
              <w:t>并按照合同约定追究其责任</w:t>
            </w:r>
          </w:p>
        </w:tc>
        <w:tc>
          <w:tcPr>
            <w:tcW w:w="9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EF957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val="0"/>
                <w:color w:val="auto"/>
                <w:sz w:val="20"/>
                <w:highlight w:val="none"/>
                <w:lang w:val="en-US"/>
              </w:rPr>
            </w:pPr>
            <w:r>
              <w:rPr>
                <w:rFonts w:hint="default" w:ascii="仿宋_GB2312" w:hAnsi="仿宋_GB2312" w:eastAsia="仿宋_GB2312" w:cs="仿宋_GB2312"/>
                <w:b w:val="0"/>
                <w:bCs w:val="0"/>
                <w:color w:val="auto"/>
                <w:kern w:val="0"/>
                <w:sz w:val="20"/>
                <w:highlight w:val="none"/>
                <w:lang w:val="en-US"/>
              </w:rPr>
              <w:t>20</w:t>
            </w:r>
          </w:p>
        </w:tc>
        <w:tc>
          <w:tcPr>
            <w:tcW w:w="10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6D04E">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c>
          <w:tcPr>
            <w:tcW w:w="18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69B08A">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c>
          <w:tcPr>
            <w:tcW w:w="7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6473F2">
            <w:pPr>
              <w:keepNext w:val="0"/>
              <w:keepLines w:val="0"/>
              <w:pageBreakBefore w:val="0"/>
              <w:kinsoku/>
              <w:wordWrap/>
              <w:overflowPunct/>
              <w:topLinePunct w:val="0"/>
              <w:autoSpaceDE/>
              <w:autoSpaceDN/>
              <w:bidi w:val="0"/>
              <w:adjustRightInd/>
              <w:snapToGrid/>
              <w:spacing w:line="240" w:lineRule="atLeast"/>
              <w:rPr>
                <w:rFonts w:hint="eastAsia" w:ascii="仿宋_GB2312" w:hAnsi="仿宋_GB2312" w:eastAsia="仿宋_GB2312" w:cs="仿宋_GB2312"/>
                <w:b w:val="0"/>
                <w:bCs w:val="0"/>
                <w:color w:val="auto"/>
                <w:sz w:val="22"/>
                <w:szCs w:val="22"/>
                <w:highlight w:val="none"/>
              </w:rPr>
            </w:pPr>
          </w:p>
        </w:tc>
      </w:tr>
    </w:tbl>
    <w:p w14:paraId="5B50EA0D">
      <w:pPr>
        <w:shd w:val="clear"/>
        <w:rPr>
          <w:color w:val="auto"/>
          <w:highlight w:val="none"/>
        </w:rPr>
        <w:sectPr>
          <w:footerReference r:id="rId6" w:type="default"/>
          <w:pgSz w:w="16838" w:h="11906" w:orient="landscape"/>
          <w:pgMar w:top="1797" w:right="1440" w:bottom="1797" w:left="1440" w:header="851" w:footer="992" w:gutter="0"/>
          <w:pgNumType w:fmt="decimal"/>
          <w:cols w:space="720" w:num="1"/>
          <w:docGrid w:linePitch="312" w:charSpace="0"/>
        </w:sectPr>
      </w:pPr>
    </w:p>
    <w:p w14:paraId="68E3CA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93E6D">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D40C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D6D40C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E8765">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5095" cy="2647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25095" cy="264795"/>
                      </a:xfrm>
                      <a:prstGeom prst="rect">
                        <a:avLst/>
                      </a:prstGeom>
                      <a:noFill/>
                      <a:ln w="6350">
                        <a:noFill/>
                      </a:ln>
                      <a:effectLst/>
                    </wps:spPr>
                    <wps:txbx>
                      <w:txbxContent>
                        <w:p w14:paraId="1CB2ECF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0.85pt;width:9.85pt;mso-position-horizontal:center;mso-position-horizontal-relative:margin;mso-wrap-style:none;z-index:251659264;mso-width-relative:page;mso-height-relative:page;" filled="f" stroked="f" coordsize="21600,21600" o:gfxdata="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tdb0gAAAAMBAAAPAAAAAAAAAAEAIAAAACIAAABkcnMvZG93bnJldi54bWxQ&#10;SwECFAAUAAAACACHTuJAMOwp+jYCAABhBAAADgAAAAAAAAABACAAAAAhAQAAZHJzL2Uyb0RvYy54&#10;bWxQSwUGAAAAAAYABgBZAQAAyQUAAAAA&#10;">
              <v:fill on="f" focussize="0,0"/>
              <v:stroke on="f" weight="0.5pt"/>
              <v:imagedata o:title=""/>
              <o:lock v:ext="edit" aspectratio="f"/>
              <v:textbox inset="0mm,0mm,0mm,0mm" style="mso-fit-shape-to-text:t;">
                <w:txbxContent>
                  <w:p w14:paraId="1CB2ECF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61D27">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6323B"/>
    <w:multiLevelType w:val="singleLevel"/>
    <w:tmpl w:val="AA96323B"/>
    <w:lvl w:ilvl="0" w:tentative="0">
      <w:start w:val="1"/>
      <w:numFmt w:val="decimal"/>
      <w:suff w:val="nothing"/>
      <w:lvlText w:val="%1、"/>
      <w:lvlJc w:val="left"/>
    </w:lvl>
  </w:abstractNum>
  <w:abstractNum w:abstractNumId="1">
    <w:nsid w:val="7D822A3D"/>
    <w:multiLevelType w:val="singleLevel"/>
    <w:tmpl w:val="7D822A3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660F0"/>
    <w:rsid w:val="44066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widowControl w:val="0"/>
      <w:snapToGrid/>
      <w:spacing w:after="0" w:line="360" w:lineRule="atLeast"/>
      <w:jc w:val="both"/>
      <w:textAlignment w:val="baseline"/>
    </w:pPr>
    <w:rPr>
      <w:rFonts w:ascii="Times New Roman" w:hAnsi="Times New Roman" w:eastAsia="宋体"/>
      <w:kern w:val="2"/>
      <w:sz w:val="32"/>
      <w:szCs w:val="20"/>
    </w:rPr>
  </w:style>
  <w:style w:type="paragraph" w:styleId="3">
    <w:name w:val="footer"/>
    <w:basedOn w:val="1"/>
    <w:qFormat/>
    <w:uiPriority w:val="99"/>
    <w:pPr>
      <w:tabs>
        <w:tab w:val="center" w:pos="4153"/>
        <w:tab w:val="right" w:pos="8306"/>
      </w:tabs>
    </w:pPr>
    <w:rPr>
      <w:sz w:val="18"/>
      <w:szCs w:val="18"/>
    </w:rPr>
  </w:style>
  <w:style w:type="paragraph" w:styleId="4">
    <w:name w:val="header"/>
    <w:basedOn w:val="1"/>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6">
    <w:name w:val="Title"/>
    <w:basedOn w:val="1"/>
    <w:next w:val="1"/>
    <w:qFormat/>
    <w:uiPriority w:val="0"/>
    <w:pPr>
      <w:overflowPunct w:val="0"/>
      <w:autoSpaceDE w:val="0"/>
      <w:autoSpaceDN w:val="0"/>
      <w:jc w:val="center"/>
      <w:textAlignment w:val="baseline"/>
    </w:pPr>
    <w:rPr>
      <w:sz w:val="18"/>
      <w:szCs w:val="18"/>
    </w:rPr>
  </w:style>
  <w:style w:type="character" w:styleId="9">
    <w:name w:val="Strong"/>
    <w:basedOn w:val="8"/>
    <w:qFormat/>
    <w:uiPriority w:val="22"/>
    <w:rPr>
      <w:b/>
      <w:bCs/>
    </w:rPr>
  </w:style>
  <w:style w:type="paragraph" w:customStyle="1" w:styleId="10">
    <w:name w:val="Body text|1"/>
    <w:basedOn w:val="1"/>
    <w:qFormat/>
    <w:uiPriority w:val="0"/>
    <w:pPr>
      <w:widowControl w:val="0"/>
      <w:shd w:val="clear" w:color="auto" w:fill="auto"/>
      <w:spacing w:line="466"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2026-08-14T03:03:00Z</dcterms:created>
  <dc:creator>宋可口ya！</dc:creator>
  <cp:lastModifiedBy>宋可口ya！</cp:lastModifiedBy>
  <dcterms:modified xsi:type="dcterms:W3CDTF">2026-08-14T03:04:12Z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92A67994556D457E8DEF9B8741FE5771_11</vt:lpwstr>
  </property>
  <property fmtid="{D5CDD505-2E9C-101B-9397-08002B2CF9AE}" pid="4" name="KSOTemplateDocerSaveRecord">
    <vt:lpwstr>eyJoZGlkIjoiYjdmMzk2OWMxMjhiYmMwNmMwOGVhZTU5MjQ3MzlmMmEiLCJ1c2VySWQiOiIyODg5MTc3NTMifQ==</vt:lpwstr>
  </property>
</Properties>
</file>