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D6B03">
      <w:pPr>
        <w:spacing w:line="360" w:lineRule="auto"/>
        <w:jc w:val="center"/>
        <w:outlineLvl w:val="0"/>
        <w:rPr>
          <w:rFonts w:hint="eastAsia" w:ascii="微软雅黑" w:hAnsi="微软雅黑" w:eastAsia="微软雅黑" w:cs="微软雅黑"/>
          <w:b/>
          <w:bCs/>
          <w:sz w:val="32"/>
          <w:szCs w:val="32"/>
          <w:lang w:val="en-US" w:eastAsia="zh-CN"/>
        </w:rPr>
      </w:pPr>
      <w:bookmarkStart w:id="0" w:name="_Toc14404"/>
      <w:r>
        <w:rPr>
          <w:rFonts w:hint="eastAsia" w:ascii="微软雅黑" w:hAnsi="微软雅黑" w:eastAsia="微软雅黑" w:cs="微软雅黑"/>
          <w:b/>
          <w:bCs/>
          <w:sz w:val="32"/>
          <w:szCs w:val="32"/>
        </w:rPr>
        <w:t xml:space="preserve">第六部分  </w:t>
      </w:r>
      <w:r>
        <w:rPr>
          <w:rFonts w:hint="eastAsia" w:ascii="微软雅黑" w:hAnsi="微软雅黑" w:eastAsia="微软雅黑" w:cs="微软雅黑"/>
          <w:b/>
          <w:bCs/>
          <w:sz w:val="32"/>
          <w:szCs w:val="32"/>
          <w:lang w:val="en-US" w:eastAsia="zh-CN"/>
        </w:rPr>
        <w:t>项目需求书</w:t>
      </w:r>
      <w:bookmarkEnd w:id="0"/>
    </w:p>
    <w:p w14:paraId="098FAFB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申请科室：</w:t>
      </w:r>
      <w:r>
        <w:rPr>
          <w:rFonts w:hint="eastAsia" w:ascii="微软雅黑" w:hAnsi="微软雅黑" w:eastAsia="微软雅黑" w:cs="微软雅黑"/>
          <w:sz w:val="21"/>
          <w:szCs w:val="21"/>
          <w:lang w:val="en-US" w:eastAsia="zh-CN"/>
        </w:rPr>
        <w:t>儿科</w:t>
      </w:r>
      <w:r>
        <w:rPr>
          <w:rFonts w:hint="eastAsia" w:ascii="微软雅黑" w:hAnsi="微软雅黑" w:eastAsia="微软雅黑" w:cs="微软雅黑"/>
          <w:sz w:val="21"/>
          <w:szCs w:val="21"/>
        </w:rPr>
        <w:t xml:space="preserve">            </w:t>
      </w:r>
    </w:p>
    <w:tbl>
      <w:tblPr>
        <w:tblStyle w:val="5"/>
        <w:tblW w:w="0" w:type="auto"/>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8"/>
        <w:gridCol w:w="1560"/>
        <w:gridCol w:w="2424"/>
        <w:gridCol w:w="2276"/>
      </w:tblGrid>
      <w:tr w14:paraId="225C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3058" w:type="dxa"/>
            <w:noWrap w:val="0"/>
            <w:vAlign w:val="top"/>
          </w:tcPr>
          <w:p w14:paraId="71BC4150">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拟购置医疗设备名称</w:t>
            </w:r>
          </w:p>
        </w:tc>
        <w:tc>
          <w:tcPr>
            <w:tcW w:w="6260" w:type="dxa"/>
            <w:gridSpan w:val="3"/>
            <w:noWrap w:val="0"/>
            <w:vAlign w:val="top"/>
          </w:tcPr>
          <w:p w14:paraId="60C19807">
            <w:pP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val="en-US" w:eastAsia="zh-CN"/>
              </w:rPr>
              <w:t>社交沟通评估与训练系统</w:t>
            </w:r>
          </w:p>
        </w:tc>
      </w:tr>
      <w:tr w14:paraId="1901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058" w:type="dxa"/>
            <w:noWrap w:val="0"/>
            <w:vAlign w:val="top"/>
          </w:tcPr>
          <w:p w14:paraId="3BBD4FE9">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数量（台/套）</w:t>
            </w:r>
          </w:p>
        </w:tc>
        <w:tc>
          <w:tcPr>
            <w:tcW w:w="1560" w:type="dxa"/>
            <w:noWrap w:val="0"/>
            <w:vAlign w:val="top"/>
          </w:tcPr>
          <w:p w14:paraId="158EE333">
            <w:pPr>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w:t>
            </w:r>
          </w:p>
        </w:tc>
        <w:tc>
          <w:tcPr>
            <w:tcW w:w="2424" w:type="dxa"/>
            <w:noWrap w:val="0"/>
            <w:vAlign w:val="top"/>
          </w:tcPr>
          <w:p w14:paraId="0F4A85AC">
            <w:pPr>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产地</w:t>
            </w:r>
          </w:p>
        </w:tc>
        <w:tc>
          <w:tcPr>
            <w:tcW w:w="2276" w:type="dxa"/>
            <w:noWrap w:val="0"/>
            <w:vAlign w:val="top"/>
          </w:tcPr>
          <w:p w14:paraId="440B8BEB">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sym w:font="Wingdings" w:char="00FE"/>
            </w:r>
            <w:r>
              <w:rPr>
                <w:rFonts w:hint="eastAsia" w:ascii="微软雅黑" w:hAnsi="微软雅黑" w:eastAsia="微软雅黑" w:cs="微软雅黑"/>
                <w:color w:val="000000"/>
                <w:sz w:val="21"/>
                <w:szCs w:val="21"/>
              </w:rPr>
              <w:t xml:space="preserve">国产  </w:t>
            </w:r>
            <w:r>
              <w:rPr>
                <w:rFonts w:hint="eastAsia" w:ascii="微软雅黑" w:hAnsi="微软雅黑" w:eastAsia="微软雅黑" w:cs="微软雅黑"/>
                <w:color w:val="000000"/>
                <w:sz w:val="21"/>
                <w:szCs w:val="21"/>
              </w:rPr>
              <w:sym w:font="Wingdings" w:char="00A8"/>
            </w:r>
            <w:r>
              <w:rPr>
                <w:rFonts w:hint="eastAsia" w:ascii="微软雅黑" w:hAnsi="微软雅黑" w:eastAsia="微软雅黑" w:cs="微软雅黑"/>
                <w:color w:val="000000"/>
                <w:sz w:val="21"/>
                <w:szCs w:val="21"/>
              </w:rPr>
              <w:t xml:space="preserve">进口 </w:t>
            </w:r>
          </w:p>
        </w:tc>
      </w:tr>
      <w:tr w14:paraId="55F2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8" w:type="dxa"/>
            <w:noWrap w:val="0"/>
            <w:vAlign w:val="top"/>
          </w:tcPr>
          <w:p w14:paraId="5E588B3D">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预算单价（万元）</w:t>
            </w:r>
          </w:p>
        </w:tc>
        <w:tc>
          <w:tcPr>
            <w:tcW w:w="1560" w:type="dxa"/>
            <w:noWrap w:val="0"/>
            <w:vAlign w:val="top"/>
          </w:tcPr>
          <w:p w14:paraId="4C5BBD15">
            <w:pPr>
              <w:jc w:val="both"/>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30</w:t>
            </w:r>
          </w:p>
        </w:tc>
        <w:tc>
          <w:tcPr>
            <w:tcW w:w="2424" w:type="dxa"/>
            <w:noWrap w:val="0"/>
            <w:vAlign w:val="top"/>
          </w:tcPr>
          <w:p w14:paraId="51B6E07B">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预算总价（万元）</w:t>
            </w:r>
          </w:p>
        </w:tc>
        <w:tc>
          <w:tcPr>
            <w:tcW w:w="2276" w:type="dxa"/>
            <w:noWrap w:val="0"/>
            <w:vAlign w:val="top"/>
          </w:tcPr>
          <w:p w14:paraId="70CDC65F">
            <w:pPr>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30</w:t>
            </w:r>
          </w:p>
        </w:tc>
      </w:tr>
      <w:tr w14:paraId="07A9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318" w:type="dxa"/>
            <w:gridSpan w:val="4"/>
            <w:noWrap w:val="0"/>
            <w:vAlign w:val="top"/>
          </w:tcPr>
          <w:p w14:paraId="41A3830D">
            <w:pPr>
              <w:pStyle w:val="4"/>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技术参数</w:t>
            </w:r>
          </w:p>
          <w:p w14:paraId="22A42D4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（一）主要用途</w:t>
            </w:r>
          </w:p>
          <w:p w14:paraId="180701E8">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适用于 0–12岁孤独症、语言发育迟缓、认知障碍儿童，满足残联定点康复机构建档、评估、康复训练、居家干预全流程使用。</w:t>
            </w:r>
          </w:p>
          <w:p w14:paraId="2C3B728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（二）评估模块</w:t>
            </w:r>
          </w:p>
          <w:p w14:paraId="6B0F928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投标产品需配置≥8个量表包的多入口评估功能，且该功能须至少同时覆盖以下5类核心量表内容：儿童心理教育量表（PEP-3简体中文版）、VB-MAPP数据记录表、快速评估量表、CARS量表、生活自理清单。</w:t>
            </w:r>
          </w:p>
          <w:p w14:paraId="49927D2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1.PEP-3简体中文版：用于2-12岁孤独症谱系障碍及相关发育障碍，测评内容包含模仿、知觉、精细动作、粗大动作、手眼协调、认知表现、口语认知7个领域的功能发展评估及5个领域的病理行为评估。</w:t>
            </w:r>
          </w:p>
          <w:p w14:paraId="421BB1A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w:t>
            </w:r>
            <w:r>
              <w:rPr>
                <w:rFonts w:hint="eastAsia" w:ascii="微软雅黑" w:hAnsi="微软雅黑" w:eastAsia="微软雅黑" w:cs="微软雅黑"/>
                <w:color w:val="000000"/>
                <w:sz w:val="21"/>
                <w:szCs w:val="21"/>
                <w:highlight w:val="none"/>
                <w:lang w:val="en-US" w:eastAsia="zh-CN"/>
              </w:rPr>
              <w:t>1要求具备数字化评估功能模块，可在系统上直接拖动、点击操作。</w:t>
            </w:r>
          </w:p>
          <w:p w14:paraId="0DF4D24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1.2 系统支持自动生成儿童心理教育量表（PEP-3简体中文版）评估报告，报告可完整展示模仿、知觉、精细动作、粗大动作、手眼协调、认知表现、口语认知七大评估维度的评估项数量、总分、实际得分、功能发展年龄、中间反应选项数量，同时同步呈现本次测评覆盖的全部领域、各领域评分、对应年龄水平评估结果、与生理年龄的差距说明、整体评估说明及各领域专项说明。</w:t>
            </w:r>
          </w:p>
          <w:p w14:paraId="19D4670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 xml:space="preserve">1.3系统支持可视化展示儿童能力发展功能侧面图，可基于各评估领域的P选项数量，直观呈现儿童当前实际能力发展水平与整体能力所处的对应年龄阶段；同时可结合各领域P+E选项的累计数量，精准分析儿童当前的发展潜力水平与后续能力提升空间。系统还支持跨轮次测评数据比对功能，可在同一界面同步展示本轮与上轮测评的当前实际发展曲线、潜在发展曲线，清晰呈现儿童能力的动态变化趋势。 </w:t>
            </w:r>
          </w:p>
          <w:p w14:paraId="03985E1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▲1.4 具备复用测评功能，历史测评数据可以重复使用，一次测评结果全流程复用。</w:t>
            </w:r>
          </w:p>
          <w:p w14:paraId="0347075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1.5支持自动生成训练IEP计划：根据 PEP-3简体中文版测评得分，自动生成标准化 IEP 个别化教育方案，至少覆盖以下训练板块：听者反应、模仿、视知觉配对、提要求、仿说、命名、对话、社交、学业、生活自理、行为干预；方案可预览、修改确认，确认后自动生成周期训练任务与配套训练素材。</w:t>
            </w:r>
          </w:p>
          <w:p w14:paraId="50537E33">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▲2.VB-MAPP数据记录表：包含≥15个领域，≥150个语言里程碑，可根据语言发展分为0-18个月、18-30个月、30-48个月三个阶段，同时包括障碍评估及转衔评估。</w:t>
            </w:r>
          </w:p>
          <w:p w14:paraId="4AE7388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2.1具有输入评估结果功能，可自动生成评估报告，并根据评估结果自动生成IEP计划。</w:t>
            </w:r>
          </w:p>
          <w:p w14:paraId="4EB3058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3.快速评估量表：包含≥15道测评题目，可针对儿童的语言表达能力、语言理解能力、社交集体技能和学业技能生成个性化训练方案，可根据评估结果生成对应评估报告及IEP个性化训练方案。</w:t>
            </w:r>
          </w:p>
          <w:p w14:paraId="5CC6653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4.CARS：用于2-6岁孤独症儿童的评定，包含人际关系、模仿、情感反应、躯体运用能力、与非生命物体的关系等评估项目，可根据测评结果生成对应评估报告。</w:t>
            </w:r>
          </w:p>
          <w:p w14:paraId="227F067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5.生活自理清单：要求包含穿衣技能、洗漱与个人卫生、进餐能力、如厕技能四大核心领域，每个领域按儿童发展阶段(18个月、30个月、48个月)细化具体行为指标，共包含≥80项技能，可根据测评结果生成对应评估报告。</w:t>
            </w:r>
          </w:p>
          <w:p w14:paraId="0F35D99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（三）训练模块</w:t>
            </w:r>
          </w:p>
          <w:p w14:paraId="46CEDF24">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具备感知觉、语言沟通、认知、社会交往、情绪行为、精细动作、粗大动作、生活自理八大核心版块训练内容。</w:t>
            </w:r>
          </w:p>
          <w:p w14:paraId="3A2F4F5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感知觉训练：包括听觉、视觉、触觉、嗅觉、味觉5个基本感知觉能力训练内容。</w:t>
            </w:r>
          </w:p>
          <w:p w14:paraId="00EECE9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1.1听觉训练：包含听觉察知、听觉分辨、听觉识别、理解四大模块。其中，听觉分辨包含综合分辨、精细分辨（至少包含响度、时长、节拍、音高、旋律、空间及声源定位等7个维度，2种难度的自适应分辨训练）</w:t>
            </w:r>
          </w:p>
          <w:p w14:paraId="53D7010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1.2视觉训练：至少包含视觉辨认、视觉记忆、视觉注意、视觉整合4个模块。其中，视觉注意须具有持续性注意、注意广度、注意转移3个方面的对训练任务</w:t>
            </w:r>
          </w:p>
          <w:p w14:paraId="7B8E8508">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1.3语言沟通训练：须包含构音语音、语言理解和表达模块。</w:t>
            </w:r>
          </w:p>
          <w:p w14:paraId="757FFDEA">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1.4认知训练：至少包含包含概念与事物关系两大模块</w:t>
            </w:r>
          </w:p>
          <w:p w14:paraId="1F93D65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▲2.1物品功能：包括指认、命名2种训练形式，≥60个物品训练项;物品特征：≥10个物品类别训练项；物品类别：≥10个物品类别训练项；人称代词：≥12个人称代词训练项；肯定与否定：≥6个肯定与否定训练项。</w:t>
            </w:r>
          </w:p>
          <w:p w14:paraId="2DB6FF0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2.2 以上训练项至少包含指认、命名两种训练形式</w:t>
            </w:r>
          </w:p>
          <w:p w14:paraId="70B82D6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▲2.3整体与部分：≥6项整体与部分训练项；配对：≥4个配对训练项；因果关系：≥9项因果关系训练项。（例如：“为什么穿毛衣？）</w:t>
            </w:r>
          </w:p>
          <w:p w14:paraId="640F8019">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2.4排序：物品排序、时间排序、规则排序等，≥3项排序训练项。</w:t>
            </w:r>
          </w:p>
          <w:p w14:paraId="43777B7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2.5理解性游戏：小动物找妈妈、你说我猜、猜谜等，≥3项理解性小游戏。</w:t>
            </w:r>
          </w:p>
          <w:p w14:paraId="3966B173">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3.社会交往训练：至少包括提要求、基础社交、社交故事、心智解读四个训练模块。</w:t>
            </w:r>
          </w:p>
          <w:p w14:paraId="3E1D4C33">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3.1提要求：具有一阶、二阶（词汇）、三阶（短句）、四阶训练。</w:t>
            </w:r>
          </w:p>
          <w:p w14:paraId="1B0BCD2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3.2基础社交：包括自我介绍、打招呼、告别、礼貌用语、分辨语气等训练任务。</w:t>
            </w:r>
          </w:p>
          <w:p w14:paraId="121F061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3.3社交故事：≥15个社交绘本</w:t>
            </w:r>
          </w:p>
          <w:p w14:paraId="4A863BC4">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▲3.4心智解读：包含情绪解读和想法解读两个模块，情绪解读≥5个难度等级，想法解读≥7个难度等级。</w:t>
            </w:r>
          </w:p>
          <w:p w14:paraId="72457AE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4.情绪行为训练：包含行为问题、情绪情感两大模块。</w:t>
            </w:r>
          </w:p>
          <w:p w14:paraId="68286751">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4.1行为问题：行为类、功能类，要求≥20项行为问题训练项。</w:t>
            </w:r>
          </w:p>
          <w:p w14:paraId="5238E1BF">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▲4.2情绪情感：情绪识别、情绪模仿、情绪表达、情绪回应、情绪调节5个领域，要求≥30项情绪情感训练项。</w:t>
            </w:r>
          </w:p>
          <w:p w14:paraId="12270F13">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5.精细动作：至少包含肢体模仿、运笔训练、常用工具三个模块。其中运笔训练须有控笔、描线、连线、涂色等训练任务。</w:t>
            </w:r>
          </w:p>
          <w:p w14:paraId="411BF82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6.粗大动作：须包含一步动作、二步动作、多步动作、细节模仿（速度和力度）等训练任务。</w:t>
            </w:r>
          </w:p>
          <w:p w14:paraId="74C03CB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7.生活自理：须包含衣、食、住、行、梳洗、如厕等训练任务。</w:t>
            </w:r>
          </w:p>
          <w:p w14:paraId="6CD0E1A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四、智能化功能要求</w:t>
            </w:r>
          </w:p>
          <w:p w14:paraId="0AC4103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1.二维码评估：部分评估量表支持扫描二维码形式测评。</w:t>
            </w:r>
          </w:p>
          <w:p w14:paraId="0FB00D77">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2.数据中心展示功能：可展示当前建档人数、康复计划执行人数、评估数据分布、评估进步人数、训练领域分布等数据。</w:t>
            </w:r>
          </w:p>
          <w:p w14:paraId="1D845881">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3.一键生成残联档案功能：要求≥5个省份的残联档案模板，档案内容须包含《孤独症儿童入学登记表》、《评估计分表-儿童心理教育量表（PEP-3简体中文版）》、《评估结果分析表》、《个别化教育计划》、《月个别训练记录表》、《周/日训练记录表》、《周/日训练记录表（机构版）》、《学习进度报告表》、《年度评估与总结》、《后续教育跟踪表》。</w:t>
            </w:r>
          </w:p>
          <w:p w14:paraId="723A41AD">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4.训练强化功能：可通过设置训练达成次数，给予儿童自动强化，强化效果为动图、视频展示形式。</w:t>
            </w:r>
          </w:p>
          <w:p w14:paraId="1E8B5C3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▲5.达标提醒功能：通过设置训练达标要求，系统自动提示训练项达标情况。</w:t>
            </w:r>
          </w:p>
          <w:p w14:paraId="22AD63C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▲6.上课状态记录功能：个训课结束后，系统可自动弹窗提示，由治疗室主动在弹窗里选择记录儿童本节课的状态，包括学习动机、配合程度、反应速度、目光接触、主动参与等方面。</w:t>
            </w:r>
          </w:p>
          <w:p w14:paraId="71F9C52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7.多场景训练功能：具备机构训练（训练课表）和居家训练（训练地图）双模式训练功能。</w:t>
            </w:r>
          </w:p>
          <w:p w14:paraId="6B1BC69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注：▲为重要参数。标记▲的软件功能的参数需提供带有CNAS认证的检验报告扫描件（加盖原厂公章）或者软件功能界面截图（盖章），不能提供视为负偏离。负偏离扣分值是其他常规参数负偏离的2倍。</w:t>
            </w:r>
          </w:p>
          <w:p w14:paraId="44E7518C">
            <w:pPr>
              <w:pStyle w:val="4"/>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第二部分商务要求：</w:t>
            </w:r>
          </w:p>
          <w:p w14:paraId="6A851CD0">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一、供应商资质</w:t>
            </w:r>
          </w:p>
          <w:p w14:paraId="311471AF">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lang w:val="en-US" w:eastAsia="zh-CN"/>
              </w:rPr>
              <w:t>一）</w:t>
            </w:r>
            <w:r>
              <w:rPr>
                <w:rFonts w:hint="eastAsia" w:ascii="微软雅黑" w:hAnsi="微软雅黑" w:eastAsia="微软雅黑" w:cs="微软雅黑"/>
                <w:color w:val="000000"/>
                <w:sz w:val="21"/>
                <w:szCs w:val="21"/>
              </w:rPr>
              <w:t>供应商须具备《中华人民共和国政府采购法》第二十二条第一款规定的条件，提供以下材料：</w:t>
            </w:r>
          </w:p>
          <w:p w14:paraId="01F756E7">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1、营业执照副本或事业单位法人证书或民办非企业单位登记证书或社会团体法人登记证书或基金会法人登记证书扫描件或复印件并加盖公章。</w:t>
            </w:r>
          </w:p>
          <w:p w14:paraId="29A4CFEF">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2、财务状况报告等相关材料：提供202</w:t>
            </w:r>
            <w:r>
              <w:rPr>
                <w:rFonts w:hint="eastAsia" w:ascii="微软雅黑" w:hAnsi="微软雅黑" w:eastAsia="微软雅黑" w:cs="微软雅黑"/>
                <w:color w:val="000000"/>
                <w:sz w:val="21"/>
                <w:szCs w:val="21"/>
                <w:lang w:val="en-US" w:eastAsia="zh-CN"/>
              </w:rPr>
              <w:t>5</w:t>
            </w:r>
            <w:r>
              <w:rPr>
                <w:rFonts w:hint="eastAsia" w:ascii="微软雅黑" w:hAnsi="微软雅黑" w:eastAsia="微软雅黑" w:cs="微软雅黑"/>
                <w:color w:val="000000"/>
                <w:sz w:val="21"/>
                <w:szCs w:val="21"/>
              </w:rPr>
              <w:t>年度经第三方会计师事务所审计的企业财务报告扫描件（应包括完整的审计报告和财务报表）或提交响应文件截止日期前近3个月内银行出具的资信证明复印件并加盖公章。</w:t>
            </w:r>
          </w:p>
          <w:p w14:paraId="3898F86A">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3、202</w:t>
            </w:r>
            <w:r>
              <w:rPr>
                <w:rFonts w:hint="eastAsia" w:ascii="微软雅黑" w:hAnsi="微软雅黑" w:eastAsia="微软雅黑" w:cs="微软雅黑"/>
                <w:color w:val="000000"/>
                <w:sz w:val="21"/>
                <w:szCs w:val="21"/>
                <w:lang w:val="en-US" w:eastAsia="zh-CN"/>
              </w:rPr>
              <w:t>6</w:t>
            </w:r>
            <w:r>
              <w:rPr>
                <w:rFonts w:hint="eastAsia" w:ascii="微软雅黑" w:hAnsi="微软雅黑" w:eastAsia="微软雅黑" w:cs="微软雅黑"/>
                <w:color w:val="000000"/>
                <w:sz w:val="21"/>
                <w:szCs w:val="21"/>
              </w:rPr>
              <w:t>年至少1个月的依法缴纳税收和社会保险费的相关证明材料扫描件或复印件并加盖公章。</w:t>
            </w:r>
          </w:p>
          <w:p w14:paraId="0B428617">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4、提交响应文件截止日前3年在经营活动中没有重大违法记录的书面声明（提交响应文件截止日前成立不足3年的供应商可提供自成立以来无重大违法记录的书面声明）并加盖公章。</w:t>
            </w:r>
          </w:p>
          <w:p w14:paraId="0BB3752E">
            <w:pPr>
              <w:pStyle w:val="7"/>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rPr>
            </w:pPr>
            <w:r>
              <w:rPr>
                <w:rFonts w:hint="eastAsia" w:ascii="微软雅黑" w:hAnsi="微软雅黑" w:eastAsia="微软雅黑" w:cs="微软雅黑"/>
                <w:color w:val="000000"/>
                <w:sz w:val="21"/>
                <w:szCs w:val="21"/>
                <w:lang w:val="en-US"/>
              </w:rPr>
              <w:t>（</w:t>
            </w:r>
            <w:r>
              <w:rPr>
                <w:rFonts w:hint="eastAsia" w:ascii="微软雅黑" w:hAnsi="微软雅黑" w:eastAsia="微软雅黑" w:cs="微软雅黑"/>
                <w:color w:val="000000"/>
                <w:sz w:val="21"/>
                <w:szCs w:val="21"/>
                <w:lang w:val="en-US" w:eastAsia="zh-CN"/>
              </w:rPr>
              <w:t>二</w:t>
            </w:r>
            <w:r>
              <w:rPr>
                <w:rFonts w:hint="eastAsia" w:ascii="微软雅黑" w:hAnsi="微软雅黑" w:eastAsia="微软雅黑" w:cs="微软雅黑"/>
                <w:color w:val="000000"/>
                <w:sz w:val="21"/>
                <w:szCs w:val="21"/>
                <w:lang w:val="en-US"/>
              </w:rPr>
              <w:t>）按照《财政部关于在政府采购活动中查询及使用信用记录有关问题的通知》（财库〔2016〕125号）的要求，采购代理机构于响应文件开启当日响应文件开启时间之前打印的信用中国、中国政府采购网的查询结果信用记录未列入失信被执行人、重大税收违法案件当事人名单、政府采购严重违法失信行为记录名单。</w:t>
            </w:r>
          </w:p>
          <w:p w14:paraId="65135BD8">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rPr>
              <w:t>（</w:t>
            </w:r>
            <w:r>
              <w:rPr>
                <w:rFonts w:hint="eastAsia" w:ascii="微软雅黑" w:hAnsi="微软雅黑" w:eastAsia="微软雅黑" w:cs="微软雅黑"/>
                <w:color w:val="000000"/>
                <w:sz w:val="21"/>
                <w:szCs w:val="21"/>
                <w:lang w:val="en-US" w:eastAsia="zh-CN"/>
              </w:rPr>
              <w:t>三</w:t>
            </w:r>
            <w:r>
              <w:rPr>
                <w:rFonts w:hint="eastAsia" w:ascii="微软雅黑" w:hAnsi="微软雅黑" w:eastAsia="微软雅黑" w:cs="微软雅黑"/>
                <w:color w:val="000000"/>
                <w:sz w:val="21"/>
                <w:szCs w:val="21"/>
              </w:rPr>
              <w:t>）供应商须由法定代表人或其授权的委托代理人参加磋商。供应商若为法定代表人参加磋商，须提供法定代表人资格证明书及身份证明原件或加盖公章的复印件（如身份证、护照、驾驶证等）；供应商若为被授权的委托代理人参加磋商，须提供法定代表人资格证明书、法人代表授权书（须由法定代表人签字或盖章）和被授权人身份证明原件或加盖公章的复印件（如身份证、护照、驾驶证等）。</w:t>
            </w:r>
          </w:p>
          <w:p w14:paraId="2A62D158">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w:t>
            </w:r>
            <w:r>
              <w:rPr>
                <w:rFonts w:hint="eastAsia" w:ascii="微软雅黑" w:hAnsi="微软雅黑" w:eastAsia="微软雅黑" w:cs="微软雅黑"/>
                <w:color w:val="000000"/>
                <w:sz w:val="21"/>
                <w:szCs w:val="21"/>
                <w:highlight w:val="none"/>
                <w:lang w:val="en-US" w:eastAsia="zh-CN"/>
              </w:rPr>
              <w:t>四</w:t>
            </w:r>
            <w:r>
              <w:rPr>
                <w:rFonts w:hint="eastAsia" w:ascii="微软雅黑" w:hAnsi="微软雅黑" w:eastAsia="微软雅黑" w:cs="微软雅黑"/>
                <w:color w:val="000000"/>
                <w:sz w:val="21"/>
                <w:szCs w:val="21"/>
                <w:highlight w:val="none"/>
              </w:rPr>
              <w:t>）本项目不接受联合体参加磋商，供应商须提供《非联合体磋商声明函》并加盖公章。</w:t>
            </w:r>
          </w:p>
          <w:p w14:paraId="4527749E">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lang w:eastAsia="zh-CN"/>
              </w:rPr>
            </w:pPr>
            <w:r>
              <w:rPr>
                <w:rFonts w:hint="eastAsia" w:ascii="微软雅黑" w:hAnsi="微软雅黑" w:eastAsia="微软雅黑" w:cs="微软雅黑"/>
                <w:color w:val="000000"/>
                <w:sz w:val="21"/>
                <w:szCs w:val="21"/>
                <w:highlight w:val="none"/>
                <w:lang w:eastAsia="zh-CN"/>
              </w:rPr>
              <w:t>（</w:t>
            </w:r>
            <w:r>
              <w:rPr>
                <w:rFonts w:hint="eastAsia" w:ascii="微软雅黑" w:hAnsi="微软雅黑" w:eastAsia="微软雅黑" w:cs="微软雅黑"/>
                <w:color w:val="000000"/>
                <w:sz w:val="21"/>
                <w:szCs w:val="21"/>
                <w:highlight w:val="none"/>
                <w:lang w:val="en-US" w:eastAsia="zh-CN"/>
              </w:rPr>
              <w:t>五</w:t>
            </w:r>
            <w:r>
              <w:rPr>
                <w:rFonts w:hint="eastAsia" w:ascii="微软雅黑" w:hAnsi="微软雅黑" w:eastAsia="微软雅黑" w:cs="微软雅黑"/>
                <w:color w:val="000000"/>
                <w:sz w:val="21"/>
                <w:szCs w:val="21"/>
                <w:highlight w:val="none"/>
                <w:lang w:eastAsia="zh-CN"/>
              </w:rPr>
              <w:t>）所投产品为第一类医疗器械产品的，需提供生产企业的备案凭证(含第一类医疗器械备案信息表);所投产品为第二类、第三类医疗器械产品的，需提供医疗器械注册证。所投产品为非医疗器械的，不需提供医疗器械注册证或备案凭证。</w:t>
            </w:r>
          </w:p>
          <w:p w14:paraId="43D497FE">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二．交货要求</w:t>
            </w:r>
          </w:p>
          <w:p w14:paraId="1AD79EC7">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1.交货时间：合同签订之日起十</w:t>
            </w:r>
            <w:r>
              <w:rPr>
                <w:rFonts w:hint="eastAsia" w:ascii="微软雅黑" w:hAnsi="微软雅黑" w:eastAsia="微软雅黑" w:cs="微软雅黑"/>
                <w:color w:val="000000"/>
                <w:sz w:val="21"/>
                <w:szCs w:val="21"/>
                <w:lang w:eastAsia="zh-CN"/>
              </w:rPr>
              <w:t>五</w:t>
            </w:r>
            <w:r>
              <w:rPr>
                <w:rFonts w:hint="eastAsia" w:ascii="微软雅黑" w:hAnsi="微软雅黑" w:eastAsia="微软雅黑" w:cs="微软雅黑"/>
                <w:color w:val="000000"/>
                <w:sz w:val="21"/>
                <w:szCs w:val="21"/>
              </w:rPr>
              <w:t>日内安装调试完毕（具体情况以合同为准）</w:t>
            </w:r>
          </w:p>
          <w:p w14:paraId="39E799AB">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rPr>
              <w:t>2.交货地点：</w:t>
            </w:r>
            <w:r>
              <w:rPr>
                <w:rFonts w:hint="eastAsia" w:ascii="微软雅黑" w:hAnsi="微软雅黑" w:eastAsia="微软雅黑" w:cs="微软雅黑"/>
                <w:color w:val="000000"/>
                <w:sz w:val="21"/>
                <w:szCs w:val="21"/>
                <w:lang w:eastAsia="zh-CN"/>
              </w:rPr>
              <w:t>天津市滨海新区中医医院</w:t>
            </w:r>
          </w:p>
          <w:p w14:paraId="5EA50EE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特别要求：除主体设备外，还须包括生产厂家的完整的随机资料，包括完整的使用和维修手册、配套的辅助设备、技术资料（包括操作手册、使用指南、维修指南或服务手册等）、设备使用所必需的备品备件，负责运输、安装并提供相应的技术服务与质量保证。</w:t>
            </w:r>
          </w:p>
          <w:p w14:paraId="3B6D8FD9">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★三、服务要求</w:t>
            </w:r>
          </w:p>
          <w:p w14:paraId="309AA541">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rPr>
              <w:t>1.保修期：</w:t>
            </w:r>
            <w:r>
              <w:rPr>
                <w:rFonts w:hint="eastAsia" w:ascii="微软雅黑" w:hAnsi="微软雅黑" w:eastAsia="微软雅黑" w:cs="微软雅黑"/>
                <w:color w:val="000000"/>
                <w:sz w:val="21"/>
                <w:szCs w:val="21"/>
                <w:lang w:eastAsia="zh-CN"/>
              </w:rPr>
              <w:t>硬件部分</w:t>
            </w:r>
            <w:r>
              <w:rPr>
                <w:rFonts w:hint="eastAsia" w:ascii="微软雅黑" w:hAnsi="微软雅黑" w:eastAsia="微软雅黑" w:cs="微软雅黑"/>
                <w:color w:val="000000"/>
                <w:sz w:val="21"/>
                <w:szCs w:val="21"/>
              </w:rPr>
              <w:t>整机保修≥</w:t>
            </w:r>
            <w:r>
              <w:rPr>
                <w:rFonts w:hint="eastAsia" w:ascii="微软雅黑" w:hAnsi="微软雅黑" w:eastAsia="微软雅黑" w:cs="微软雅黑"/>
                <w:color w:val="000000"/>
                <w:sz w:val="21"/>
                <w:szCs w:val="21"/>
                <w:lang w:val="en-US" w:eastAsia="zh-CN"/>
              </w:rPr>
              <w:t>5</w:t>
            </w:r>
            <w:r>
              <w:rPr>
                <w:rFonts w:hint="eastAsia" w:ascii="微软雅黑" w:hAnsi="微软雅黑" w:eastAsia="微软雅黑" w:cs="微软雅黑"/>
                <w:color w:val="000000"/>
                <w:sz w:val="21"/>
                <w:szCs w:val="21"/>
              </w:rPr>
              <w:t>年(自货物经采购方验收合格之日起计算保修期),保修期内出现质量问题由供应商免费上门保修，且免费更换全部零配件，并承担修理、调换或退货以及由此给采购方造成损失的实际费用</w:t>
            </w:r>
            <w:r>
              <w:rPr>
                <w:rFonts w:hint="eastAsia" w:ascii="微软雅黑" w:hAnsi="微软雅黑" w:eastAsia="微软雅黑" w:cs="微软雅黑"/>
                <w:color w:val="000000"/>
                <w:sz w:val="21"/>
                <w:szCs w:val="21"/>
                <w:lang w:eastAsia="zh-CN"/>
              </w:rPr>
              <w:t>；软件部分终身免费维护升级。</w:t>
            </w:r>
          </w:p>
          <w:p w14:paraId="4547BA3D">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2.依据产品说明书，保修期内供应商对所供货物提供免费维护与保养。</w:t>
            </w:r>
          </w:p>
          <w:p w14:paraId="611DFE93">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3.货物在保修期内更换整机的，从双方确认更换完成日期开始，保修期重新计算。</w:t>
            </w:r>
          </w:p>
          <w:p w14:paraId="3A826A2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4.在产品说明书或标签中标明的使用期限内，供应商免费对货物的软件进行更新、维护、升级。</w:t>
            </w:r>
          </w:p>
          <w:p w14:paraId="26062F6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5.在产品说明书或标签中标明的产品使用期限内，因货物质量问题，造成事故，供应商除负责修复、调换本合同货物外，还应承担受损人员及财产的赔偿责任，包括但不限于造成采购方数据丢失、损坏的，还应承担恢复数据、信息等费用损失。</w:t>
            </w:r>
          </w:p>
          <w:p w14:paraId="05E892FA">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6.在产品说明书或标签中标明的产品使用期限内，货物因制造粗糙、设计缺陷或原材料缺陷但在上述保修期届满之前的合理检测中未能发现的潜在缺陷，供应商负责免费更换、修复。</w:t>
            </w:r>
          </w:p>
          <w:p w14:paraId="3F752D62">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7.供应商针对采购方的报修，供应商的服务人员在24小时内上门，并在48小时内予以修复。供应商对于采购方报修后48小时内无法修复的部分：保修期内供应商72小时内免费更换；超过保修期但仍在产品说明书或标签中标明的产品使用期限内的，供应商72小时内更换。若供应商不予配合，采购方有权委托第三方修复或者向第三方采购同等规格的替换产品，由此产生的一切费用均由供应商承担。</w:t>
            </w:r>
          </w:p>
          <w:p w14:paraId="279D56B6">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8.供应商所提供的货物必须具有合法手续及相关文件。如涉及知识产权，则必须是自己拥有或合法使用，不得侵害任何第三方的合法权益。</w:t>
            </w:r>
          </w:p>
          <w:p w14:paraId="7434BD28">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9.供应商应随货物向采购方交付货物的使用说明书及货物相关的资料。如果所提交文件是外文的，供应商有义务为采购方提供中文或译成中文文件。</w:t>
            </w:r>
          </w:p>
          <w:p w14:paraId="4F1A8A1F">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10.货物在途及安装调试过程中的风险及责任全部由供应商自行承担，包括但不限于货物在途时或安装调试过程中发生毁损、灭失，以及给采购方或其工作人员、供应商或其工作人员、第三方造成人身伤亡或财产损失等。</w:t>
            </w:r>
          </w:p>
          <w:p w14:paraId="2175D71C">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11.未经采购人同意，成交供应商不得转让合同、转包或分包。</w:t>
            </w:r>
          </w:p>
          <w:p w14:paraId="26CEF987">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12.所响应产品涉及商品包装或快递包装的，按照《财政部办公厅、生态环境部办公厅、国家邮政局办公室关于印发&lt;商品包装政府采购需求标准（试行）&gt;、&lt;快递包装政府采购需求标准（试行）&gt;的通知》（财办库〔2020〕123号）要求执行。</w:t>
            </w:r>
          </w:p>
          <w:p w14:paraId="63F0B379">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pacing w:val="8"/>
                <w:sz w:val="21"/>
                <w:szCs w:val="21"/>
                <w:shd w:val="clear" w:color="auto" w:fill="FFFFFF"/>
              </w:rPr>
            </w:pPr>
            <w:r>
              <w:rPr>
                <w:rFonts w:hint="eastAsia" w:ascii="微软雅黑" w:hAnsi="微软雅黑" w:eastAsia="微软雅黑" w:cs="微软雅黑"/>
                <w:color w:val="000000"/>
                <w:sz w:val="21"/>
                <w:szCs w:val="21"/>
              </w:rPr>
              <w:t xml:space="preserve">13.供应商须整包进行磋商，不得拆包分项响应。 </w:t>
            </w:r>
          </w:p>
          <w:p w14:paraId="7009727F">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第三部分：付款方式</w:t>
            </w:r>
          </w:p>
          <w:p w14:paraId="341EB6FA">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1.供应商在合同签订三日内向采购方缴纳合同标的额的10%作为履约保证金，待保修期届满后，由采购方在保修期届满30日内全额</w:t>
            </w: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rPr>
              <w:t>无息</w:t>
            </w: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rPr>
              <w:t>退还给供应商，但历次因违约扣除的履约保证金不予退还。在保修期内，供应商一旦发生需扣除履约保证金的情形，供应商应在收到采购方扣除履约保证金通知之日起30日内向采购方补足履约保证金。</w:t>
            </w:r>
          </w:p>
          <w:p w14:paraId="2581CC38">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2.合同签订生效，货到、安装调试完毕并经需方验收合格，且需方收到供方提供全额发票</w:t>
            </w:r>
            <w:r>
              <w:rPr>
                <w:rFonts w:hint="eastAsia" w:ascii="微软雅黑" w:hAnsi="微软雅黑" w:eastAsia="微软雅黑" w:cs="微软雅黑"/>
                <w:color w:val="000000"/>
                <w:sz w:val="21"/>
                <w:szCs w:val="21"/>
                <w:highlight w:val="none"/>
                <w:lang w:eastAsia="zh-CN"/>
              </w:rPr>
              <w:t>后</w:t>
            </w:r>
            <w:r>
              <w:rPr>
                <w:rFonts w:hint="eastAsia" w:ascii="微软雅黑" w:hAnsi="微软雅黑" w:eastAsia="微软雅黑" w:cs="微软雅黑"/>
                <w:color w:val="000000"/>
                <w:sz w:val="21"/>
                <w:szCs w:val="21"/>
                <w:highlight w:val="none"/>
              </w:rPr>
              <w:t>，</w:t>
            </w:r>
            <w:r>
              <w:rPr>
                <w:rFonts w:hint="eastAsia" w:ascii="微软雅黑" w:hAnsi="微软雅黑" w:eastAsia="微软雅黑" w:cs="微软雅黑"/>
                <w:color w:val="000000"/>
                <w:sz w:val="21"/>
                <w:szCs w:val="21"/>
                <w:highlight w:val="none"/>
                <w:lang w:val="en-US" w:eastAsia="zh-CN"/>
              </w:rPr>
              <w:t>60日内需方付款</w:t>
            </w:r>
            <w:r>
              <w:rPr>
                <w:rFonts w:hint="eastAsia" w:ascii="微软雅黑" w:hAnsi="微软雅黑" w:eastAsia="微软雅黑" w:cs="微软雅黑"/>
                <w:color w:val="000000"/>
                <w:sz w:val="21"/>
                <w:szCs w:val="21"/>
                <w:highlight w:val="none"/>
              </w:rPr>
              <w:t>。</w:t>
            </w:r>
          </w:p>
          <w:p w14:paraId="38579577">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是否有配套耗材：   </w:t>
            </w:r>
            <w:r>
              <w:rPr>
                <w:rFonts w:hint="eastAsia" w:ascii="微软雅黑" w:hAnsi="微软雅黑" w:eastAsia="微软雅黑" w:cs="微软雅黑"/>
                <w:color w:val="000000"/>
                <w:sz w:val="21"/>
                <w:szCs w:val="21"/>
              </w:rPr>
              <w:sym w:font="Wingdings" w:char="00A8"/>
            </w:r>
            <w:r>
              <w:rPr>
                <w:rFonts w:hint="eastAsia" w:ascii="微软雅黑" w:hAnsi="微软雅黑" w:eastAsia="微软雅黑" w:cs="微软雅黑"/>
                <w:color w:val="000000"/>
                <w:sz w:val="21"/>
                <w:szCs w:val="21"/>
              </w:rPr>
              <w:t xml:space="preserve">有 </w:t>
            </w:r>
            <w:r>
              <w:rPr>
                <w:rFonts w:hint="eastAsia" w:ascii="微软雅黑" w:hAnsi="微软雅黑" w:eastAsia="微软雅黑" w:cs="微软雅黑"/>
                <w:color w:val="000000"/>
                <w:sz w:val="21"/>
                <w:szCs w:val="21"/>
              </w:rPr>
              <w:sym w:font="Wingdings" w:char="00FE"/>
            </w:r>
            <w:r>
              <w:rPr>
                <w:rFonts w:hint="eastAsia" w:ascii="微软雅黑" w:hAnsi="微软雅黑" w:eastAsia="微软雅黑" w:cs="微软雅黑"/>
                <w:color w:val="000000"/>
                <w:sz w:val="21"/>
                <w:szCs w:val="21"/>
              </w:rPr>
              <w:t>无</w:t>
            </w:r>
          </w:p>
          <w:p w14:paraId="5B24BE39">
            <w:pPr>
              <w:pStyle w:val="4"/>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lang w:eastAsia="zh-CN"/>
              </w:rPr>
            </w:pPr>
            <w:r>
              <w:rPr>
                <w:rFonts w:hint="eastAsia" w:ascii="微软雅黑" w:hAnsi="微软雅黑" w:eastAsia="微软雅黑" w:cs="微软雅黑"/>
                <w:color w:val="000000"/>
                <w:sz w:val="21"/>
                <w:szCs w:val="21"/>
                <w:highlight w:val="none"/>
                <w:lang w:eastAsia="zh-CN"/>
              </w:rPr>
              <w:t>其他要求：</w:t>
            </w:r>
          </w:p>
          <w:p w14:paraId="30542D39">
            <w:pPr>
              <w:pStyle w:val="4"/>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lang w:val="en-US" w:eastAsia="zh-CN"/>
              </w:rPr>
            </w:pPr>
            <w:r>
              <w:rPr>
                <w:rFonts w:hint="eastAsia" w:ascii="微软雅黑" w:hAnsi="微软雅黑" w:eastAsia="微软雅黑" w:cs="微软雅黑"/>
                <w:color w:val="000000"/>
                <w:sz w:val="21"/>
                <w:szCs w:val="21"/>
                <w:highlight w:val="none"/>
                <w:lang w:val="en-US" w:eastAsia="zh-CN"/>
              </w:rPr>
              <w:t>1.专用平台1套（含推车、专用软件）</w:t>
            </w:r>
          </w:p>
          <w:p w14:paraId="3CAE9CF9">
            <w:pPr>
              <w:pStyle w:val="4"/>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lang w:val="en-US" w:eastAsia="zh-CN"/>
              </w:rPr>
            </w:pPr>
            <w:r>
              <w:rPr>
                <w:rFonts w:hint="eastAsia" w:ascii="微软雅黑" w:hAnsi="微软雅黑" w:eastAsia="微软雅黑" w:cs="微软雅黑"/>
                <w:color w:val="000000"/>
                <w:sz w:val="21"/>
                <w:szCs w:val="21"/>
                <w:highlight w:val="none"/>
                <w:lang w:val="en-US" w:eastAsia="zh-CN"/>
              </w:rPr>
              <w:t>2.康复终端数量3套，≥11.5英寸</w:t>
            </w:r>
          </w:p>
          <w:p w14:paraId="6607F32F">
            <w:pPr>
              <w:pStyle w:val="4"/>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lang w:val="en-US" w:eastAsia="zh-CN"/>
              </w:rPr>
            </w:pPr>
            <w:r>
              <w:rPr>
                <w:rFonts w:hint="eastAsia" w:ascii="微软雅黑" w:hAnsi="微软雅黑" w:eastAsia="微软雅黑" w:cs="微软雅黑"/>
                <w:color w:val="000000"/>
                <w:sz w:val="21"/>
                <w:szCs w:val="21"/>
                <w:highlight w:val="none"/>
                <w:lang w:val="en-US" w:eastAsia="zh-CN"/>
              </w:rPr>
              <w:t>3.PEP-3简体中文版工具箱1套</w:t>
            </w:r>
          </w:p>
          <w:p w14:paraId="662FA85D">
            <w:pPr>
              <w:pStyle w:val="4"/>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highlight w:val="none"/>
                <w:lang w:val="en-US" w:eastAsia="zh-CN"/>
              </w:rPr>
            </w:pPr>
            <w:r>
              <w:rPr>
                <w:rFonts w:hint="eastAsia" w:ascii="微软雅黑" w:hAnsi="微软雅黑" w:eastAsia="微软雅黑" w:cs="微软雅黑"/>
                <w:color w:val="000000"/>
                <w:sz w:val="21"/>
                <w:szCs w:val="21"/>
                <w:highlight w:val="none"/>
                <w:lang w:val="en-US" w:eastAsia="zh-CN"/>
              </w:rPr>
              <w:t>4.VB-MAPP工具箱1套</w:t>
            </w:r>
          </w:p>
          <w:p w14:paraId="577B7956">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5.软件系统终身免费维护升级</w:t>
            </w:r>
          </w:p>
        </w:tc>
      </w:tr>
    </w:tbl>
    <w:p w14:paraId="4F7A2AAF">
      <w:r>
        <w:rPr>
          <w:rFonts w:hint="eastAsia" w:ascii="微软雅黑" w:hAnsi="微软雅黑" w:eastAsia="微软雅黑" w:cs="微软雅黑"/>
          <w:b/>
          <w:bCs/>
          <w:szCs w:val="21"/>
        </w:rPr>
        <w:t>注：加注“★”号条款为实质性条款，不得出现负偏离，发生负偏离即做无效</w:t>
      </w:r>
      <w:r>
        <w:rPr>
          <w:rFonts w:hint="eastAsia" w:ascii="微软雅黑" w:hAnsi="微软雅黑" w:eastAsia="微软雅黑" w:cs="微软雅黑"/>
          <w:b/>
          <w:bCs/>
          <w:szCs w:val="21"/>
          <w:lang w:eastAsia="zh-CN"/>
        </w:rPr>
        <w:t>响应</w:t>
      </w:r>
      <w:r>
        <w:rPr>
          <w:rFonts w:hint="eastAsia" w:ascii="微软雅黑" w:hAnsi="微软雅黑" w:eastAsia="微软雅黑" w:cs="微软雅黑"/>
          <w:b/>
          <w:bCs/>
          <w:szCs w:val="21"/>
        </w:rPr>
        <w:t>处理。</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
      <w:suff w:val="nothing"/>
      <w:lvlText w:val="%1、"/>
      <w:lvlJc w:val="left"/>
      <w:rPr>
        <w:rFonts w:hint="eastAsia"/>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705C1A"/>
    <w:rsid w:val="43705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1440"/>
    </w:pPr>
    <w:rPr>
      <w:rFonts w:hint="eastAsia" w:ascii="Arial Unicode MS" w:hAnsi="Arial Unicode MS" w:eastAsia="Arial Unicode MS" w:cs="Arial Unicode MS"/>
      <w:color w:val="000000"/>
      <w:sz w:val="32"/>
      <w:szCs w:val="32"/>
    </w:rPr>
  </w:style>
  <w:style w:type="paragraph" w:styleId="3">
    <w:name w:val="Body Text Indent"/>
    <w:basedOn w:val="1"/>
    <w:next w:val="2"/>
    <w:qFormat/>
    <w:uiPriority w:val="99"/>
    <w:pPr>
      <w:tabs>
        <w:tab w:val="left" w:pos="480"/>
      </w:tabs>
      <w:spacing w:line="560" w:lineRule="exact"/>
      <w:ind w:firstLine="480"/>
      <w:jc w:val="left"/>
    </w:pPr>
    <w:rPr>
      <w:rFonts w:ascii="宋体" w:hAnsi="宋体"/>
      <w:sz w:val="24"/>
    </w:rPr>
  </w:style>
  <w:style w:type="paragraph" w:styleId="4">
    <w:name w:val="Body Text First Indent 2"/>
    <w:basedOn w:val="3"/>
    <w:next w:val="1"/>
    <w:unhideWhenUsed/>
    <w:qFormat/>
    <w:uiPriority w:val="99"/>
    <w:pPr>
      <w:ind w:firstLine="420" w:firstLineChars="200"/>
    </w:pPr>
    <w:rPr>
      <w:rFonts w:ascii="Calibri" w:hAnsi="Calibri"/>
      <w:sz w:val="21"/>
      <w:szCs w:val="22"/>
      <w:lang w:val="en-US" w:eastAsia="zh-CN" w:bidi="ar-SA"/>
    </w:rPr>
  </w:style>
  <w:style w:type="paragraph" w:customStyle="1" w:styleId="7">
    <w:name w:val="首行缩进"/>
    <w:basedOn w:val="1"/>
    <w:qFormat/>
    <w:uiPriority w:val="0"/>
    <w:pPr>
      <w:spacing w:line="360" w:lineRule="auto"/>
      <w:ind w:firstLine="480" w:firstLineChars="200"/>
    </w:pPr>
    <w:rPr>
      <w:sz w:val="24"/>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2026-09-20T06:38:00Z</dcterms:created>
  <dc:creator>宋可口ya！</dc:creator>
  <cp:lastModifiedBy>宋可口ya！</cp:lastModifiedBy>
  <dcterms:modified xsi:type="dcterms:W3CDTF">2026-09-20T06:38:21Z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71BBBF9282714553B9173AC1B4DD5E7D_11</vt:lpwstr>
  </property>
  <property fmtid="{D5CDD505-2E9C-101B-9397-08002B2CF9AE}" pid="4" name="KSOTemplateDocerSaveRecord">
    <vt:lpwstr>eyJoZGlkIjoiYWI1YTQ5ZTJjMWFjNTgxNzkyMzNhYmFlNGJmNmRkNmUiLCJ1c2VySWQiOiIyODg5MTc3NTMifQ==</vt:lpwstr>
  </property>
</Properties>
</file>