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ABA2A">
      <w:pPr>
        <w:keepNext w:val="0"/>
        <w:keepLines w:val="0"/>
        <w:pageBreakBefore w:val="0"/>
        <w:widowControl/>
        <w:kinsoku/>
        <w:wordWrap/>
        <w:overflowPunct/>
        <w:topLinePunct w:val="0"/>
        <w:autoSpaceDE/>
        <w:autoSpaceDN/>
        <w:bidi w:val="0"/>
        <w:adjustRightInd/>
        <w:snapToGrid/>
        <w:spacing w:line="460" w:lineRule="exact"/>
        <w:ind w:left="88" w:firstLine="400" w:firstLineChars="0"/>
        <w:textAlignment w:val="auto"/>
        <w:outlineLvl w:val="1"/>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八、项目需求书</w:t>
      </w:r>
    </w:p>
    <w:p w14:paraId="4448A2BA">
      <w:pPr>
        <w:keepNext w:val="0"/>
        <w:keepLines w:val="0"/>
        <w:pageBreakBefore w:val="0"/>
        <w:kinsoku/>
        <w:wordWrap/>
        <w:overflowPunct/>
        <w:topLinePunct w:val="0"/>
        <w:autoSpaceDE/>
        <w:autoSpaceDN/>
        <w:bidi w:val="0"/>
        <w:adjustRightInd/>
        <w:snapToGrid/>
        <w:spacing w:line="460" w:lineRule="exact"/>
        <w:ind w:firstLine="444"/>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本项目所属行业：工业</w:t>
      </w:r>
    </w:p>
    <w:tbl>
      <w:tblPr>
        <w:tblStyle w:val="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5"/>
        <w:gridCol w:w="1425"/>
        <w:gridCol w:w="2216"/>
        <w:gridCol w:w="2084"/>
      </w:tblGrid>
      <w:tr w14:paraId="72A6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40" w:type="pct"/>
            <w:noWrap w:val="0"/>
            <w:vAlign w:val="top"/>
          </w:tcPr>
          <w:p w14:paraId="5688D3A0">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拟购置医疗设备名称</w:t>
            </w:r>
          </w:p>
        </w:tc>
        <w:tc>
          <w:tcPr>
            <w:tcW w:w="3359" w:type="pct"/>
            <w:gridSpan w:val="3"/>
            <w:noWrap w:val="0"/>
            <w:vAlign w:val="top"/>
          </w:tcPr>
          <w:p w14:paraId="5EAA57A5">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语言障碍康复评估训练系统</w:t>
            </w:r>
          </w:p>
        </w:tc>
      </w:tr>
      <w:tr w14:paraId="59DE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640" w:type="pct"/>
            <w:noWrap w:val="0"/>
            <w:vAlign w:val="top"/>
          </w:tcPr>
          <w:p w14:paraId="617B5722">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数量（台/套）</w:t>
            </w:r>
          </w:p>
        </w:tc>
        <w:tc>
          <w:tcPr>
            <w:tcW w:w="836" w:type="pct"/>
            <w:noWrap w:val="0"/>
            <w:vAlign w:val="top"/>
          </w:tcPr>
          <w:p w14:paraId="0DA74E3A">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300" w:type="pct"/>
            <w:noWrap w:val="0"/>
            <w:vAlign w:val="top"/>
          </w:tcPr>
          <w:p w14:paraId="1AE12D63">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产地</w:t>
            </w:r>
          </w:p>
        </w:tc>
        <w:tc>
          <w:tcPr>
            <w:tcW w:w="1221" w:type="pct"/>
            <w:noWrap w:val="0"/>
            <w:vAlign w:val="top"/>
          </w:tcPr>
          <w:p w14:paraId="36874EF3">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sym w:font="Wingdings" w:char="00FE"/>
            </w:r>
            <w:r>
              <w:rPr>
                <w:rFonts w:hint="eastAsia" w:ascii="宋体" w:hAnsi="宋体" w:eastAsia="宋体" w:cs="宋体"/>
                <w:color w:val="auto"/>
                <w:sz w:val="21"/>
                <w:szCs w:val="21"/>
                <w:highlight w:val="none"/>
              </w:rPr>
              <w:t xml:space="preserve">国产  </w:t>
            </w:r>
            <w:r>
              <w:rPr>
                <w:rFonts w:hint="eastAsia" w:ascii="宋体" w:hAnsi="宋体" w:eastAsia="宋体" w:cs="宋体"/>
                <w:color w:val="auto"/>
                <w:sz w:val="21"/>
                <w:szCs w:val="21"/>
                <w:highlight w:val="none"/>
              </w:rPr>
              <w:sym w:font="Wingdings" w:char="00A8"/>
            </w:r>
            <w:r>
              <w:rPr>
                <w:rFonts w:hint="eastAsia" w:ascii="宋体" w:hAnsi="宋体" w:eastAsia="宋体" w:cs="宋体"/>
                <w:color w:val="auto"/>
                <w:sz w:val="21"/>
                <w:szCs w:val="21"/>
                <w:highlight w:val="none"/>
              </w:rPr>
              <w:t xml:space="preserve">进口 </w:t>
            </w:r>
          </w:p>
        </w:tc>
      </w:tr>
      <w:tr w14:paraId="489F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640" w:type="pct"/>
            <w:noWrap w:val="0"/>
            <w:vAlign w:val="top"/>
          </w:tcPr>
          <w:p w14:paraId="029E750D">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预算单价（万元）</w:t>
            </w:r>
          </w:p>
        </w:tc>
        <w:tc>
          <w:tcPr>
            <w:tcW w:w="836" w:type="pct"/>
            <w:noWrap w:val="0"/>
            <w:vAlign w:val="top"/>
          </w:tcPr>
          <w:p w14:paraId="5105BBE1">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1300" w:type="pct"/>
            <w:noWrap w:val="0"/>
            <w:vAlign w:val="top"/>
          </w:tcPr>
          <w:p w14:paraId="30D5528A">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预算总价（万元）</w:t>
            </w:r>
          </w:p>
        </w:tc>
        <w:tc>
          <w:tcPr>
            <w:tcW w:w="1221" w:type="pct"/>
            <w:noWrap w:val="0"/>
            <w:vAlign w:val="top"/>
          </w:tcPr>
          <w:p w14:paraId="03BC7553">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r>
    </w:tbl>
    <w:p w14:paraId="62712B85">
      <w:pPr>
        <w:pStyle w:val="4"/>
        <w:keepNext w:val="0"/>
        <w:keepLines w:val="0"/>
        <w:pageBreakBefore w:val="0"/>
        <w:numPr>
          <w:ilvl w:val="0"/>
          <w:numId w:val="0"/>
        </w:numPr>
        <w:kinsoku/>
        <w:wordWrap/>
        <w:overflowPunct/>
        <w:topLinePunct w:val="0"/>
        <w:bidi w:val="0"/>
        <w:spacing w:line="46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一、</w:t>
      </w:r>
      <w:r>
        <w:rPr>
          <w:rFonts w:hint="eastAsia" w:ascii="宋体" w:hAnsi="宋体" w:eastAsia="宋体" w:cs="宋体"/>
          <w:color w:val="auto"/>
          <w:sz w:val="21"/>
          <w:szCs w:val="21"/>
          <w:highlight w:val="none"/>
        </w:rPr>
        <w:t>技术参数</w:t>
      </w:r>
    </w:p>
    <w:p w14:paraId="7DBC0834">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val="en-US" w:eastAsia="zh-CN"/>
        </w:rPr>
        <w:t>图文报告系统1套</w:t>
      </w:r>
      <w:r>
        <w:rPr>
          <w:rFonts w:hint="eastAsia" w:ascii="宋体" w:hAnsi="宋体" w:eastAsia="宋体" w:cs="宋体"/>
          <w:color w:val="auto"/>
          <w:sz w:val="21"/>
          <w:szCs w:val="21"/>
          <w:highlight w:val="none"/>
        </w:rPr>
        <w:t>：</w:t>
      </w:r>
    </w:p>
    <w:p w14:paraId="48F38303">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1、CPU：≥</w:t>
      </w:r>
      <w:r>
        <w:rPr>
          <w:rFonts w:hint="eastAsia" w:ascii="宋体" w:hAnsi="宋体" w:eastAsia="宋体" w:cs="宋体"/>
          <w:color w:val="auto"/>
          <w:sz w:val="21"/>
          <w:szCs w:val="21"/>
          <w:highlight w:val="none"/>
          <w:lang w:val="en-US"/>
        </w:rPr>
        <w:t>12</w:t>
      </w:r>
      <w:r>
        <w:rPr>
          <w:rFonts w:hint="eastAsia" w:ascii="宋体" w:hAnsi="宋体" w:eastAsia="宋体" w:cs="宋体"/>
          <w:color w:val="auto"/>
          <w:sz w:val="21"/>
          <w:szCs w:val="21"/>
          <w:highlight w:val="none"/>
        </w:rPr>
        <w:t>核，主频≥</w:t>
      </w:r>
      <w:r>
        <w:rPr>
          <w:rFonts w:hint="eastAsia" w:ascii="宋体" w:hAnsi="宋体" w:eastAsia="宋体" w:cs="宋体"/>
          <w:color w:val="auto"/>
          <w:sz w:val="21"/>
          <w:szCs w:val="21"/>
          <w:highlight w:val="none"/>
          <w:lang w:val="en-US"/>
        </w:rPr>
        <w:t>2.1</w:t>
      </w:r>
      <w:r>
        <w:rPr>
          <w:rFonts w:hint="eastAsia" w:ascii="宋体" w:hAnsi="宋体" w:eastAsia="宋体" w:cs="宋体"/>
          <w:color w:val="auto"/>
          <w:sz w:val="21"/>
          <w:szCs w:val="21"/>
          <w:highlight w:val="none"/>
        </w:rPr>
        <w:t>GHz；内存≥16G；硬盘≥ 1TB；彩色液晶触控显示器≥ 21英寸，分辨率≥1920×1080；图文输出设备：</w:t>
      </w:r>
      <w:r>
        <w:rPr>
          <w:rFonts w:hint="eastAsia" w:ascii="宋体" w:hAnsi="宋体" w:eastAsia="宋体" w:cs="宋体"/>
          <w:color w:val="auto"/>
          <w:sz w:val="21"/>
          <w:szCs w:val="21"/>
          <w:highlight w:val="none"/>
          <w:lang w:eastAsia="zh-CN"/>
        </w:rPr>
        <w:t>彩色</w:t>
      </w:r>
      <w:r>
        <w:rPr>
          <w:rFonts w:hint="eastAsia" w:ascii="宋体" w:hAnsi="宋体" w:eastAsia="宋体" w:cs="宋体"/>
          <w:color w:val="auto"/>
          <w:sz w:val="21"/>
          <w:szCs w:val="21"/>
          <w:highlight w:val="none"/>
        </w:rPr>
        <w:t>。</w:t>
      </w:r>
    </w:p>
    <w:p w14:paraId="63EC762B">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2、有源音箱：信噪比≥80dBa，功率≥4W×2。</w:t>
      </w:r>
    </w:p>
    <w:p w14:paraId="3AE1E071">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3、麦克风：专业型定向型麦克风</w:t>
      </w:r>
    </w:p>
    <w:p w14:paraId="6EC17ECE">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4、配备移动台车。</w:t>
      </w:r>
    </w:p>
    <w:p w14:paraId="6FBACB5E">
      <w:pPr>
        <w:keepNext w:val="0"/>
        <w:keepLines w:val="0"/>
        <w:pageBreakBefore w:val="0"/>
        <w:kinsoku/>
        <w:wordWrap/>
        <w:overflowPunct/>
        <w:topLinePunct w:val="0"/>
        <w:bidi w:val="0"/>
        <w:snapToGrid w:val="0"/>
        <w:spacing w:line="4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（二）康复终端</w:t>
      </w:r>
      <w:r>
        <w:rPr>
          <w:rFonts w:hint="eastAsia" w:ascii="宋体" w:hAnsi="宋体" w:eastAsia="宋体" w:cs="宋体"/>
          <w:color w:val="auto"/>
          <w:sz w:val="21"/>
          <w:szCs w:val="21"/>
          <w:highlight w:val="none"/>
          <w:lang w:val="en-US" w:eastAsia="zh-CN"/>
        </w:rPr>
        <w:t>3套</w:t>
      </w:r>
      <w:r>
        <w:rPr>
          <w:rFonts w:hint="eastAsia" w:ascii="宋体" w:hAnsi="宋体" w:eastAsia="宋体" w:cs="宋体"/>
          <w:color w:val="auto"/>
          <w:sz w:val="21"/>
          <w:szCs w:val="21"/>
          <w:highlight w:val="none"/>
        </w:rPr>
        <w:t>：</w:t>
      </w:r>
    </w:p>
    <w:p w14:paraId="4B6F9550">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1、CPU：≥8核；主频≥2.0GHz；运行内存≥6GB；数据内存：≥128GB；液晶触摸显示屏≥11英寸，电池容量：≥7000mAh。</w:t>
      </w:r>
    </w:p>
    <w:p w14:paraId="01CE00C5">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2、配备专用保护套。</w:t>
      </w:r>
    </w:p>
    <w:p w14:paraId="075CBAFF">
      <w:pPr>
        <w:keepNext w:val="0"/>
        <w:keepLines w:val="0"/>
        <w:pageBreakBefore w:val="0"/>
        <w:kinsoku/>
        <w:wordWrap/>
        <w:overflowPunct/>
        <w:topLinePunct w:val="0"/>
        <w:bidi w:val="0"/>
        <w:snapToGrid w:val="0"/>
        <w:spacing w:line="4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（三）评估软件功能：</w:t>
      </w:r>
    </w:p>
    <w:p w14:paraId="70C65379">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1、具备数字化的儿童语言发育迟缓检查S-S法评估量表。</w:t>
      </w:r>
    </w:p>
    <w:p w14:paraId="07590FD3">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2、具备OPT口肌定位评估量表。</w:t>
      </w:r>
    </w:p>
    <w:p w14:paraId="2B5BFE06">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3、具备数字化构音清晰度评估功能。</w:t>
      </w:r>
    </w:p>
    <w:p w14:paraId="7BB20DC3">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4、儿童语言发育迟缓评估（S-S法）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用于1.5—6.5岁儿童语言发育迟缓的检查，检查内容包括符号形式与指示内容关系、基础性过程、交流态度三方面。</w:t>
      </w:r>
      <w:r>
        <w:rPr>
          <w:rFonts w:hint="eastAsia" w:ascii="宋体" w:hAnsi="宋体" w:eastAsia="宋体" w:cs="宋体"/>
          <w:color w:val="auto"/>
          <w:sz w:val="21"/>
          <w:szCs w:val="21"/>
          <w:highlight w:val="none"/>
        </w:rPr>
        <w:t xml:space="preserve"> </w:t>
      </w:r>
    </w:p>
    <w:p w14:paraId="702AF770">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4.1、可根据指导语在显示屏上进行点击、拖动操作。</w:t>
      </w:r>
    </w:p>
    <w:p w14:paraId="3792E996">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4.2、可一键生成≥5个阶段的评估报告。</w:t>
      </w:r>
    </w:p>
    <w:p w14:paraId="76A7385D">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4.3、可自动出具个性化治疗计划，且支持在系统上进行增补和删减。</w:t>
      </w:r>
    </w:p>
    <w:p w14:paraId="1A37A2F2">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5、OPT口部肌肉评估：</w:t>
      </w:r>
      <w:r>
        <w:rPr>
          <w:rFonts w:hint="eastAsia" w:ascii="宋体" w:hAnsi="宋体" w:eastAsia="宋体" w:cs="宋体"/>
          <w:color w:val="auto"/>
          <w:sz w:val="21"/>
          <w:szCs w:val="21"/>
          <w:highlight w:val="none"/>
          <w:lang w:val="en-US" w:eastAsia="zh-CN"/>
        </w:rPr>
        <w:t>用于2岁以上存在口肌障碍或构音问题的儿童，测评内容涵盖感知觉、呼吸、下颌、唇、舌等口部关键肌肉的运动力量、灵活性、协调性以及发音相关的肌肉运动等方面。</w:t>
      </w:r>
    </w:p>
    <w:p w14:paraId="3A2F6DFB">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5.1、口肌评估工具≥5类，至少包含下颌骨锻炼器、下颌骨闭合胶管、舌尖运动训练器、汽笛套装、鼻子笛等。</w:t>
      </w:r>
    </w:p>
    <w:p w14:paraId="3878628E">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5.2、口肌评估教学视频≥5类，包含喂食、下颌、唇、舌、共鸣等。</w:t>
      </w:r>
    </w:p>
    <w:p w14:paraId="18672690">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5.3、可一键生成口肌评估报告，可自动出具个性化口肌训练计划。</w:t>
      </w:r>
    </w:p>
    <w:p w14:paraId="2749D329">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6、构音清晰度评估：</w:t>
      </w:r>
      <w:r>
        <w:rPr>
          <w:rFonts w:hint="eastAsia" w:ascii="宋体" w:hAnsi="宋体" w:eastAsia="宋体" w:cs="宋体"/>
          <w:color w:val="auto"/>
          <w:sz w:val="21"/>
          <w:szCs w:val="21"/>
          <w:highlight w:val="none"/>
          <w:lang w:val="en-US" w:eastAsia="zh-CN"/>
        </w:rPr>
        <w:t>用于3岁以上普通话发音不清晰的人群，测评内容涵盖声母、韵母、声调发音的准确性和清晰度水平，辅助判断是否存在构音障碍及严重程度。</w:t>
      </w:r>
    </w:p>
    <w:p w14:paraId="79DCF282">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6.1、每道测评题目包含提问、标准音等示范形式，具有录音、回放功能。</w:t>
      </w:r>
    </w:p>
    <w:p w14:paraId="203A833E">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6.2、可一键生成构音评估报告，自动出具构音个性化治疗计划。</w:t>
      </w:r>
    </w:p>
    <w:p w14:paraId="2CF0681E">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7、双溪评估：用于3-15岁智力障碍的儿童，测评内容包含感官知觉、沟通、认知、生活自理、粗大运动、精细运动、社会技能七个领域，支持自动生成双溪量表评估报告。</w:t>
      </w:r>
    </w:p>
    <w:p w14:paraId="1C351EC9">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8、早期语言发育进程量表（EIMS）：可针对0-3岁婴幼儿的语音及语言表达、听觉感受和理解、视觉相关理解3个维持进行测评，支持自动生成评估报告。</w:t>
      </w:r>
    </w:p>
    <w:p w14:paraId="70D5448A">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、可一键生成标准用户</w:t>
      </w:r>
      <w:r>
        <w:rPr>
          <w:rFonts w:hint="eastAsia" w:ascii="宋体" w:hAnsi="宋体" w:eastAsia="宋体" w:cs="宋体"/>
          <w:color w:val="auto"/>
          <w:sz w:val="21"/>
          <w:szCs w:val="21"/>
          <w:highlight w:val="none"/>
          <w:lang w:val="en-US" w:eastAsia="zh-CN"/>
        </w:rPr>
        <w:t>电子</w:t>
      </w:r>
      <w:r>
        <w:rPr>
          <w:rFonts w:hint="eastAsia" w:ascii="宋体" w:hAnsi="宋体" w:eastAsia="宋体" w:cs="宋体"/>
          <w:color w:val="auto"/>
          <w:sz w:val="21"/>
          <w:szCs w:val="21"/>
          <w:highlight w:val="none"/>
        </w:rPr>
        <w:t>档案，档案至少包含《儿童情况登记表》、《S-S评估报告》、《评估结果分析表》、《个别化教育计划（IEP）》、《个别训练月计划》、《周/日训练记录》、《家长面谈记录表》、《儿童阶段训练小结》、《儿童后续教育跟踪表》</w:t>
      </w:r>
    </w:p>
    <w:p w14:paraId="467F931C">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9.1、电子档案支持在系统中进行编辑，具备包括但不限于填加表、删除表、填加行、删除行、自动编号、自动保存功能。</w:t>
      </w:r>
    </w:p>
    <w:p w14:paraId="7AB733DC">
      <w:pPr>
        <w:keepNext w:val="0"/>
        <w:keepLines w:val="0"/>
        <w:pageBreakBefore w:val="0"/>
        <w:kinsoku/>
        <w:wordWrap/>
        <w:overflowPunct/>
        <w:topLinePunct w:val="0"/>
        <w:bidi w:val="0"/>
        <w:snapToGrid w:val="0"/>
        <w:spacing w:line="4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（四）训练软件功能：</w:t>
      </w:r>
    </w:p>
    <w:p w14:paraId="62CC4A88">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1、听觉能力训练： </w:t>
      </w:r>
    </w:p>
    <w:p w14:paraId="33D50C07">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1.1、具备声音感知、音乐及情景感知、基础听觉能力训练。</w:t>
      </w:r>
    </w:p>
    <w:p w14:paraId="7BF7EC99">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1.2、声音感知具备日常声音的频率响度香蕉图。</w:t>
      </w:r>
    </w:p>
    <w:p w14:paraId="479CF6A2">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1.3、音乐感知游戏训练形式≥2种。</w:t>
      </w:r>
    </w:p>
    <w:p w14:paraId="3B7829A1">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1.4、情景感知游戏训练形式≥4种。</w:t>
      </w:r>
    </w:p>
    <w:p w14:paraId="5EF0EEFF">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1.5、基础听觉能力训练≥5种类别声音。</w:t>
      </w:r>
    </w:p>
    <w:p w14:paraId="28F2B1D2">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2、语音识别训练：具备基于声母、韵母、声调、词语对比的语音辨识训练功能。</w:t>
      </w:r>
    </w:p>
    <w:p w14:paraId="01F85652">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3、听觉记忆训练: </w:t>
      </w:r>
    </w:p>
    <w:p w14:paraId="5A14A85C">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3.1、听觉记忆训练单元</w:t>
      </w:r>
      <w:r>
        <w:rPr>
          <w:rFonts w:hint="eastAsia" w:ascii="宋体" w:hAnsi="宋体" w:eastAsia="宋体" w:cs="宋体"/>
          <w:color w:val="auto"/>
          <w:sz w:val="21"/>
          <w:szCs w:val="21"/>
          <w:highlight w:val="none"/>
          <w:lang w:val="en-US" w:eastAsia="zh-CN"/>
        </w:rPr>
        <w:t>包含1-</w:t>
      </w:r>
      <w:r>
        <w:rPr>
          <w:rFonts w:hint="eastAsia" w:ascii="宋体" w:hAnsi="宋体" w:eastAsia="宋体" w:cs="宋体"/>
          <w:color w:val="auto"/>
          <w:sz w:val="21"/>
          <w:szCs w:val="21"/>
          <w:highlight w:val="none"/>
        </w:rPr>
        <w:t>4项；语速≥3档可选；信噪比≥3种可选；背景噪声≥3类场景。</w:t>
      </w:r>
    </w:p>
    <w:p w14:paraId="0751CEA2">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3.2、每项听觉记忆训练单元至少包含高、低两个阶段，每个阶段≥5个难度等级。</w:t>
      </w:r>
    </w:p>
    <w:p w14:paraId="1501122D">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i w:val="0"/>
          <w:iCs w:val="0"/>
          <w:color w:val="auto"/>
          <w:kern w:val="2"/>
          <w:sz w:val="21"/>
          <w:szCs w:val="21"/>
          <w:highlight w:val="none"/>
          <w:vertAlign w:val="baseline"/>
          <w:lang w:val="en-US" w:eastAsia="zh-CN" w:bidi="ar-SA"/>
        </w:rPr>
        <w:t>▲</w:t>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所有</w:t>
      </w:r>
      <w:r>
        <w:rPr>
          <w:rFonts w:hint="eastAsia" w:ascii="宋体" w:hAnsi="宋体" w:eastAsia="宋体" w:cs="宋体"/>
          <w:color w:val="auto"/>
          <w:sz w:val="21"/>
          <w:szCs w:val="21"/>
          <w:highlight w:val="none"/>
        </w:rPr>
        <w:t>记忆单元词汇组合数量≥100万个。</w:t>
      </w:r>
    </w:p>
    <w:p w14:paraId="7D22A034">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4、词语训练功能：</w:t>
      </w:r>
    </w:p>
    <w:p w14:paraId="629654CE">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4.1、词库：名词≥8类，词汇≥150个；形容词≥2类，词汇≥30个；动词≥2类，词汇≥30个；数词≥2类，词汇≥20个。</w:t>
      </w:r>
    </w:p>
    <w:p w14:paraId="6D8806B3">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4.2、训练形式：至少包括学习视频、发音口型视频、例句、录音、画板、图片形式。</w:t>
      </w:r>
    </w:p>
    <w:p w14:paraId="6B36CA0A">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5、短句训练：</w:t>
      </w:r>
    </w:p>
    <w:p w14:paraId="5C12B2B4">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i w:val="0"/>
          <w:iCs w:val="0"/>
          <w:color w:val="auto"/>
          <w:kern w:val="2"/>
          <w:sz w:val="21"/>
          <w:szCs w:val="21"/>
          <w:highlight w:val="none"/>
          <w:vertAlign w:val="baseline"/>
          <w:lang w:val="en-US" w:eastAsia="zh-CN" w:bidi="ar-SA"/>
        </w:rPr>
        <w:t>▲5</w:t>
      </w:r>
      <w:r>
        <w:rPr>
          <w:rFonts w:hint="eastAsia" w:ascii="宋体" w:hAnsi="宋体" w:eastAsia="宋体" w:cs="宋体"/>
          <w:color w:val="auto"/>
          <w:sz w:val="21"/>
          <w:szCs w:val="21"/>
          <w:highlight w:val="none"/>
        </w:rPr>
        <w:t>.1、简单句≥10个句型，句式≥35个，例句≥</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000个；复合句≥9个句型，句式≥55个</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例句</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300000个，</w:t>
      </w:r>
      <w:r>
        <w:rPr>
          <w:rFonts w:hint="eastAsia" w:ascii="宋体" w:hAnsi="宋体" w:eastAsia="宋体" w:cs="宋体"/>
          <w:color w:val="auto"/>
          <w:sz w:val="21"/>
          <w:szCs w:val="21"/>
          <w:highlight w:val="none"/>
        </w:rPr>
        <w:t>训练内容为每回合随机生成。</w:t>
      </w:r>
    </w:p>
    <w:p w14:paraId="0853D2FC">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5.2、每个句式≥20种词汇搭配，训练形式至少包括图片填空、仿说训练。</w:t>
      </w:r>
    </w:p>
    <w:p w14:paraId="0598B662">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6、康复训练终端须有测评功能，测评量表数量及内容须与主软件评估功能保持一致。</w:t>
      </w:r>
    </w:p>
    <w:p w14:paraId="1356D59C">
      <w:pPr>
        <w:pStyle w:val="4"/>
        <w:keepNext w:val="0"/>
        <w:keepLines w:val="0"/>
        <w:pageBreakBefore w:val="0"/>
        <w:kinsoku/>
        <w:wordWrap/>
        <w:overflowPunct/>
        <w:topLinePunct w:val="0"/>
        <w:bidi w:val="0"/>
        <w:spacing w:line="4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 注：▲为重要参数，需提供带有CNAS认证的检验报告扫描件（加盖原厂公章）或者软件功能界面截图（盖章），作为佐证材料，不能提供视为负偏离，</w:t>
      </w:r>
      <w:r>
        <w:rPr>
          <w:rFonts w:hint="eastAsia" w:ascii="宋体" w:hAnsi="宋体" w:eastAsia="宋体" w:cs="宋体"/>
          <w:b w:val="0"/>
          <w:bCs/>
          <w:color w:val="auto"/>
          <w:sz w:val="21"/>
          <w:szCs w:val="21"/>
          <w:highlight w:val="none"/>
          <w:lang w:eastAsia="zh-CN"/>
        </w:rPr>
        <w:t>负偏离扣分值是其他常规参数负偏离的</w:t>
      </w:r>
      <w:r>
        <w:rPr>
          <w:rFonts w:hint="eastAsia" w:ascii="宋体" w:hAnsi="宋体" w:eastAsia="宋体" w:cs="宋体"/>
          <w:b w:val="0"/>
          <w:bCs/>
          <w:color w:val="auto"/>
          <w:sz w:val="21"/>
          <w:szCs w:val="21"/>
          <w:highlight w:val="none"/>
          <w:lang w:val="en-US" w:eastAsia="zh-CN"/>
        </w:rPr>
        <w:t>2倍</w:t>
      </w:r>
    </w:p>
    <w:p w14:paraId="7900FC7B">
      <w:pPr>
        <w:pStyle w:val="4"/>
        <w:keepNext w:val="0"/>
        <w:keepLines w:val="0"/>
        <w:pageBreakBefore w:val="0"/>
        <w:kinsoku/>
        <w:wordWrap/>
        <w:overflowPunct/>
        <w:topLinePunct w:val="0"/>
        <w:bidi w:val="0"/>
        <w:snapToGrid w:val="0"/>
        <w:spacing w:line="46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第二部分商务要求（资质要求、交货时间、售后服务等）：</w:t>
      </w:r>
    </w:p>
    <w:p w14:paraId="0A863849">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一、供应商资质</w:t>
      </w:r>
    </w:p>
    <w:p w14:paraId="17135C32">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参加本项目磋商的供应商应在响应文件中提供以下证明材料：</w:t>
      </w:r>
    </w:p>
    <w:p w14:paraId="4665DDAE">
      <w:pPr>
        <w:keepNext w:val="0"/>
        <w:keepLines w:val="0"/>
        <w:pageBreakBefore w:val="0"/>
        <w:kinsoku/>
        <w:wordWrap/>
        <w:overflowPunct/>
        <w:topLinePunct w:val="0"/>
        <w:bidi w:val="0"/>
        <w:snapToGrid w:val="0"/>
        <w:spacing w:line="4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根据《医疗器械监督管理条例》的规定，若供应商为所响应产品的制造商，须提供其医疗器械生产企业备案证明文件或医疗器械生产企业许可证的扫描件或复印件加盖公章；若供应商非所响应产品（第一类医疗器械除外）的制造商，须提供其医疗器械经营企业备案证明文件或医疗器械经营企业许可证的扫描件或复印件加盖公章。</w:t>
      </w:r>
    </w:p>
    <w:p w14:paraId="6C614F9B">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（二）供应商须具备《中华人民共和国政府采购法》第二十二条第一款规定的条件，提供以下材料：</w:t>
      </w:r>
    </w:p>
    <w:p w14:paraId="723EE0A6">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1、营业执照副本或事业单位法人证书或民办非企业单位登记证书或社会团体法人登记证书或基金会法人登记证书扫描件或复印件并加盖公章。</w:t>
      </w:r>
    </w:p>
    <w:p w14:paraId="220D056A">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2、财务状况报告等相关材料：提供202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年度经第三方会计师事务所审计的企业财务报告扫描件（应包括完整的审计报告和财务报表）或提交响应文件截止日期前近3个月内银行出具的资信证明复印件并加盖公章。</w:t>
      </w:r>
    </w:p>
    <w:p w14:paraId="12487984">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年至少1个月的依法缴纳税收和社会保险费的相关证明材料扫描件或复印件并加盖公章。</w:t>
      </w:r>
    </w:p>
    <w:p w14:paraId="27DD83BC">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4、提交响应文件截止日前3年在经营活动中没有重大违法记录的书面声明（提交响应文件截止日前成立不足3年的供应商可提供自成立以来无重大违法记录的书面声明）并加盖公章。</w:t>
      </w:r>
    </w:p>
    <w:p w14:paraId="606AFD66">
      <w:pPr>
        <w:pStyle w:val="7"/>
        <w:keepNext w:val="0"/>
        <w:keepLines w:val="0"/>
        <w:pageBreakBefore w:val="0"/>
        <w:kinsoku/>
        <w:wordWrap/>
        <w:overflowPunct/>
        <w:topLinePunct w:val="0"/>
        <w:bidi w:val="0"/>
        <w:snapToGrid w:val="0"/>
        <w:spacing w:line="460" w:lineRule="exact"/>
        <w:ind w:firstLine="56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三）按照《财政部关于在政府采购活动中查询及使用信用记录有关问题的通知》（财库〔2016〕125号）的要求，采购代理机构于响应文件开启当日响应文件开启时间之前打印的信用中国、中国政府采购网的查询结果信用记录未列入失信被执行人、重大税收违法案件当事人名单、政府采购严重违法失信行为记录名单。</w:t>
      </w:r>
    </w:p>
    <w:p w14:paraId="0510EE17">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供应商须由法定代表人或其授权的委托代理人参加磋商。供应商若为法定代表人参加磋商，须提供法定代表人资格证明书及身份证明原件或加盖公章的复印件（如身份证、护照、驾驶证等）；供应商若为被授权的委托代理人参加磋商，须提供法定代表人资格证明书、法人代表授权书（须由法定代表人签字或盖章）和被授权人身份证明原件或加盖公章的复印件（如身份证、护照、驾驶证等）。</w:t>
      </w:r>
    </w:p>
    <w:p w14:paraId="200F3431">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（五）本项目不接受联合体参加磋商，供应商须提供《非联合体磋商声明函》并加盖公章。</w:t>
      </w:r>
    </w:p>
    <w:p w14:paraId="55C58262">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二．交货要求</w:t>
      </w:r>
    </w:p>
    <w:p w14:paraId="3E9BF241">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1.交货时间：合同签订之日起十</w:t>
      </w:r>
      <w:r>
        <w:rPr>
          <w:rFonts w:hint="eastAsia" w:ascii="宋体" w:hAnsi="宋体" w:eastAsia="宋体" w:cs="宋体"/>
          <w:color w:val="auto"/>
          <w:sz w:val="21"/>
          <w:szCs w:val="21"/>
          <w:highlight w:val="none"/>
          <w:lang w:eastAsia="zh-CN"/>
        </w:rPr>
        <w:t>五</w:t>
      </w:r>
      <w:r>
        <w:rPr>
          <w:rFonts w:hint="eastAsia" w:ascii="宋体" w:hAnsi="宋体" w:eastAsia="宋体" w:cs="宋体"/>
          <w:color w:val="auto"/>
          <w:sz w:val="21"/>
          <w:szCs w:val="21"/>
          <w:highlight w:val="none"/>
        </w:rPr>
        <w:t>个工作日内安装调试完毕（具体情况以合同为准）</w:t>
      </w:r>
    </w:p>
    <w:p w14:paraId="3D3EC2FF">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2.交货地点：</w:t>
      </w:r>
      <w:r>
        <w:rPr>
          <w:rFonts w:hint="eastAsia" w:ascii="宋体" w:hAnsi="宋体" w:eastAsia="宋体" w:cs="宋体"/>
          <w:color w:val="auto"/>
          <w:sz w:val="21"/>
          <w:szCs w:val="21"/>
          <w:highlight w:val="none"/>
          <w:lang w:eastAsia="zh-CN"/>
        </w:rPr>
        <w:t>天津市滨海新区中医医院</w:t>
      </w:r>
    </w:p>
    <w:p w14:paraId="0F1342C6">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特别要求：除主体设备外，还须包括生产厂家的完整的随机资料，包括完整的使用和维修手册、配套的辅助设备、技术资料（包括操作手册、使用指南、维修指南或服务手册等）、设备使用所必需的备品备件，负责运输、安装并提供相应的技术服务与质量保证。</w:t>
      </w:r>
    </w:p>
    <w:p w14:paraId="67BFEB24">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★三、服务要求</w:t>
      </w:r>
    </w:p>
    <w:p w14:paraId="21251382">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1.保修期：整机保修≥</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年(自货物经采购方验收合格之日起计算保修期),保修期内出现质量问题由供应商免费上门保修，且免费更换全部零配件，并承担修理、调换或退货以及由此给采购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造成损失的实际费用。</w:t>
      </w:r>
    </w:p>
    <w:p w14:paraId="682C7AEC">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2.依据产品说明书，保修期内供应商对所供货物提供免费维护与保养。</w:t>
      </w:r>
    </w:p>
    <w:p w14:paraId="14DF5C33">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3.货物在保修期内更换整机的，从双方确认更换完成日期开始，保修期重新计算。</w:t>
      </w:r>
    </w:p>
    <w:p w14:paraId="1A845DDE">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4.在产品说明书或标签中标明的使用期限内，供应商免费对货物的软件进行更新、维护、升级。</w:t>
      </w:r>
    </w:p>
    <w:p w14:paraId="302F2140">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在产品说明书或标签中标明的产品使用期限内，因货物质量问题，造成事故，供应商除负责修复、调换本合同货物外，还应承担受损人员及财产的赔偿责任，包括但不限于造成采购方数据丢失、损坏的，还应承担恢复数据、信息等费用损失。</w:t>
      </w:r>
    </w:p>
    <w:p w14:paraId="1D0A1B1A">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6.在产品说明书或标签中标明的产品使用期限内，货物因制造粗糙、设计缺陷或原材料缺陷但在上述保修期届满之前的合理检测中未能发现的潜在缺陷，供应商负责免费更换、修复。</w:t>
      </w:r>
    </w:p>
    <w:p w14:paraId="34F4A22F">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供应商针对采购方的报修，供应商的服务人员在24小时内上门，并在48小时内予以修复。供应商对于采购方报修后48小时内无法修复的部分：保修期内供应商72小时内免费更换；超过保修期但仍在产品说明书或标签中标明的产品使用期限内的，供应商72小时内更换。若供应商不予配合，采购方有权委托第三方修复或者向第三方采购同等规格的替换产品，由此产生的一切费用均由供应商承担。</w:t>
      </w:r>
    </w:p>
    <w:p w14:paraId="77D175CE">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8.供应商所提供的货物必须具有合法手续及相关文件。如涉及知识产权，则必须是自己拥有或合法使用，不得侵害任何第三方的合法权益。</w:t>
      </w:r>
    </w:p>
    <w:p w14:paraId="479D076F">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9.供应商应随货物向采购方交付货物的使用说明书及货物相关的资料。如果所提交文件是外文的，供应商有义务为采购方提供中文或译成中文文件。</w:t>
      </w:r>
    </w:p>
    <w:p w14:paraId="4EA18A0D">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货物在途及安装调试过程中的风险及责任全部由供应商自行承担，包括但不限于货物在途时或安装调试过程中发生毁损、灭失，以及给采购方或其工作人员、供应商或其工作人员、第三方造成人身伤亡或财产损失等。</w:t>
      </w:r>
    </w:p>
    <w:p w14:paraId="03D4FCD5">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11.未经采购人同意，成交供应商不得转让合同、转包或分包。</w:t>
      </w:r>
    </w:p>
    <w:p w14:paraId="18407A50">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所响应产品涉及商品包装或快递包装的，按照《财政部办公厅、生态环境部办公厅、国家邮政局办公室关于印发&lt;商品包装政府采购需求标准（试行）&gt;、&lt;快递包装政府采购需求标准（试行）&gt;的通知》（财办库〔2020〕123号）要求执行。</w:t>
      </w:r>
    </w:p>
    <w:p w14:paraId="6EE20A99">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pacing w:val="8"/>
          <w:sz w:val="21"/>
          <w:szCs w:val="21"/>
          <w:highlight w:val="none"/>
          <w:shd w:val="clear" w:color="auto" w:fill="FFFFFF"/>
        </w:rPr>
      </w:pPr>
      <w:r>
        <w:rPr>
          <w:rFonts w:hint="eastAsia" w:ascii="宋体" w:hAnsi="宋体" w:eastAsia="宋体" w:cs="宋体"/>
          <w:color w:val="auto"/>
          <w:sz w:val="21"/>
          <w:szCs w:val="21"/>
          <w:highlight w:val="none"/>
        </w:rPr>
        <w:t xml:space="preserve">13.供应商须整包进行磋商，不得拆包分项响应。 </w:t>
      </w:r>
    </w:p>
    <w:p w14:paraId="48A6BD81">
      <w:pPr>
        <w:pStyle w:val="3"/>
        <w:keepNext w:val="0"/>
        <w:keepLines w:val="0"/>
        <w:pageBreakBefore w:val="0"/>
        <w:widowControl/>
        <w:shd w:val="clear" w:color="auto" w:fill="FFFFFF"/>
        <w:kinsoku/>
        <w:wordWrap/>
        <w:overflowPunct/>
        <w:topLinePunct w:val="0"/>
        <w:bidi w:val="0"/>
        <w:adjustRightInd w:val="0"/>
        <w:snapToGrid w:val="0"/>
        <w:spacing w:before="0" w:beforeAutospacing="0" w:after="0" w:afterAutospacing="0" w:line="460" w:lineRule="exact"/>
        <w:ind w:firstLine="452" w:firstLineChars="200"/>
        <w:textAlignment w:val="auto"/>
        <w:rPr>
          <w:rFonts w:hint="eastAsia" w:ascii="宋体" w:hAnsi="宋体" w:eastAsia="宋体" w:cs="宋体"/>
          <w:color w:val="auto"/>
          <w:spacing w:val="8"/>
          <w:sz w:val="21"/>
          <w:szCs w:val="21"/>
          <w:highlight w:val="none"/>
          <w:shd w:val="clear" w:color="auto" w:fill="FFFFFF"/>
        </w:rPr>
      </w:pPr>
      <w:r>
        <w:rPr>
          <w:rFonts w:hint="eastAsia" w:ascii="宋体" w:hAnsi="宋体" w:eastAsia="宋体" w:cs="宋体"/>
          <w:color w:val="auto"/>
          <w:spacing w:val="8"/>
          <w:sz w:val="21"/>
          <w:szCs w:val="21"/>
          <w:highlight w:val="none"/>
          <w:shd w:val="clear" w:color="auto" w:fill="FFFFFF"/>
        </w:rPr>
        <w:t>1</w:t>
      </w:r>
      <w:r>
        <w:rPr>
          <w:rFonts w:hint="eastAsia" w:ascii="宋体" w:hAnsi="宋体" w:eastAsia="宋体" w:cs="宋体"/>
          <w:color w:val="auto"/>
          <w:spacing w:val="8"/>
          <w:sz w:val="21"/>
          <w:szCs w:val="21"/>
          <w:highlight w:val="none"/>
          <w:shd w:val="clear" w:color="auto" w:fill="FFFFFF"/>
          <w:lang w:val="en-US" w:eastAsia="zh-CN"/>
        </w:rPr>
        <w:t>4</w:t>
      </w:r>
      <w:r>
        <w:rPr>
          <w:rFonts w:hint="eastAsia" w:ascii="宋体" w:hAnsi="宋体" w:eastAsia="宋体" w:cs="宋体"/>
          <w:color w:val="auto"/>
          <w:spacing w:val="8"/>
          <w:sz w:val="21"/>
          <w:szCs w:val="21"/>
          <w:highlight w:val="none"/>
          <w:shd w:val="clear" w:color="auto" w:fill="FFFFFF"/>
        </w:rPr>
        <w:t>.根据《医疗器械监督管理条例》的规定，供应商所投产品如属于第一类医疗器械，须提供医疗器械备案证明文件复印件并加盖公章，供应商所投产品如属于第二类或第三类医疗器械，须具备食品药品监督管理局颁发的在有效期内的中华人民共和国医疗器械注册证，提供证书复印件并加盖公章。</w:t>
      </w:r>
    </w:p>
    <w:p w14:paraId="345223AD">
      <w:pPr>
        <w:keepNext w:val="0"/>
        <w:keepLines w:val="0"/>
        <w:pageBreakBefore w:val="0"/>
        <w:kinsoku/>
        <w:wordWrap/>
        <w:overflowPunct/>
        <w:topLinePunct w:val="0"/>
        <w:bidi w:val="0"/>
        <w:snapToGrid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第三部分：付款方式</w:t>
      </w:r>
    </w:p>
    <w:p w14:paraId="3B0808DA">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1.供应商在合同签订三日内向采购方缴纳合同标的额的10%作为履约保证金，待保修期届满后，由采购方在保修期届满30日内全额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退还给供应商，但历次因违约扣除的履约保证金不予退还。在保修期内，供应商一旦发生需扣除履约保证金的情形，供应商应在收到采购方扣除履约保证金通知之日起30日内向采购方补足履约保证金。</w:t>
      </w:r>
    </w:p>
    <w:p w14:paraId="33010B19">
      <w:pPr>
        <w:keepNext w:val="0"/>
        <w:keepLines w:val="0"/>
        <w:pageBreakBefore w:val="0"/>
        <w:kinsoku/>
        <w:wordWrap/>
        <w:overflowPunct/>
        <w:topLinePunct w:val="0"/>
        <w:bidi w:val="0"/>
        <w:snapToGrid w:val="0"/>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2.合同签订生效，货到、安装调试完毕并经需方验收合格，且需方收到供方提供全额发票</w:t>
      </w:r>
      <w:r>
        <w:rPr>
          <w:rFonts w:hint="eastAsia" w:ascii="宋体" w:hAnsi="宋体" w:eastAsia="宋体" w:cs="宋体"/>
          <w:color w:val="auto"/>
          <w:sz w:val="21"/>
          <w:szCs w:val="21"/>
          <w:highlight w:val="none"/>
          <w:lang w:eastAsia="zh-CN"/>
        </w:rPr>
        <w:t>后</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60日内需方付款</w:t>
      </w:r>
      <w:r>
        <w:rPr>
          <w:rFonts w:hint="eastAsia" w:ascii="宋体" w:hAnsi="宋体" w:eastAsia="宋体" w:cs="宋体"/>
          <w:color w:val="auto"/>
          <w:sz w:val="21"/>
          <w:szCs w:val="21"/>
          <w:highlight w:val="none"/>
        </w:rPr>
        <w:t>。</w:t>
      </w:r>
    </w:p>
    <w:p w14:paraId="1FD665E6">
      <w:pPr>
        <w:keepNext w:val="0"/>
        <w:keepLines w:val="0"/>
        <w:pageBreakBefore w:val="0"/>
        <w:kinsoku/>
        <w:wordWrap/>
        <w:overflowPunct/>
        <w:topLinePunct w:val="0"/>
        <w:bidi w:val="0"/>
        <w:spacing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是否有配套耗材：   </w:t>
      </w:r>
      <w:r>
        <w:rPr>
          <w:rFonts w:hint="eastAsia" w:ascii="宋体" w:hAnsi="宋体" w:eastAsia="宋体" w:cs="宋体"/>
          <w:color w:val="auto"/>
          <w:sz w:val="21"/>
          <w:szCs w:val="21"/>
          <w:highlight w:val="none"/>
        </w:rPr>
        <w:sym w:font="Wingdings" w:char="00A8"/>
      </w:r>
      <w:r>
        <w:rPr>
          <w:rFonts w:hint="eastAsia" w:ascii="宋体" w:hAnsi="宋体" w:eastAsia="宋体" w:cs="宋体"/>
          <w:color w:val="auto"/>
          <w:sz w:val="21"/>
          <w:szCs w:val="21"/>
          <w:highlight w:val="none"/>
        </w:rPr>
        <w:t xml:space="preserve">有 </w:t>
      </w:r>
      <w:r>
        <w:rPr>
          <w:rFonts w:hint="eastAsia" w:ascii="宋体" w:hAnsi="宋体" w:eastAsia="宋体" w:cs="宋体"/>
          <w:color w:val="auto"/>
          <w:sz w:val="21"/>
          <w:szCs w:val="21"/>
          <w:highlight w:val="none"/>
        </w:rPr>
        <w:sym w:font="Wingdings" w:char="00FE"/>
      </w:r>
      <w:r>
        <w:rPr>
          <w:rFonts w:hint="eastAsia" w:ascii="宋体" w:hAnsi="宋体" w:eastAsia="宋体" w:cs="宋体"/>
          <w:color w:val="auto"/>
          <w:sz w:val="21"/>
          <w:szCs w:val="21"/>
          <w:highlight w:val="none"/>
        </w:rPr>
        <w:t>无</w:t>
      </w:r>
    </w:p>
    <w:p w14:paraId="20DBB53E">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其他要求：</w:t>
      </w:r>
    </w:p>
    <w:p w14:paraId="40CB3824">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图文报告系统</w:t>
      </w:r>
      <w:r>
        <w:rPr>
          <w:rFonts w:hint="eastAsia" w:ascii="宋体" w:hAnsi="宋体" w:eastAsia="宋体" w:cs="宋体"/>
          <w:color w:val="auto"/>
          <w:sz w:val="21"/>
          <w:szCs w:val="21"/>
          <w:highlight w:val="none"/>
          <w:lang w:eastAsia="zh-CN"/>
        </w:rPr>
        <w:t>：1套。</w:t>
      </w:r>
    </w:p>
    <w:p w14:paraId="6AF69C3B">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2、康复终端：</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套；</w:t>
      </w:r>
    </w:p>
    <w:p w14:paraId="700329FA">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3、OPT口肌工具箱：</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套。</w:t>
      </w:r>
    </w:p>
    <w:p w14:paraId="5CC001BB">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4、评估软件、训练软件：1套。</w:t>
      </w:r>
    </w:p>
    <w:p w14:paraId="5F9794A4">
      <w:pPr>
        <w:keepNext w:val="0"/>
        <w:keepLines w:val="0"/>
        <w:pageBreakBefore w:val="0"/>
        <w:kinsoku/>
        <w:wordWrap/>
        <w:overflowPunct/>
        <w:topLinePunct w:val="0"/>
        <w:bidi w:val="0"/>
        <w:snapToGrid w:val="0"/>
        <w:spacing w:line="4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5.软件系统终身免费维护升级</w:t>
      </w:r>
    </w:p>
    <w:p w14:paraId="080085E4">
      <w:r>
        <w:rPr>
          <w:rFonts w:hint="eastAsia" w:ascii="宋体" w:hAnsi="宋体" w:eastAsia="宋体" w:cs="宋体"/>
          <w:color w:val="auto"/>
          <w:sz w:val="21"/>
          <w:szCs w:val="21"/>
          <w:highlight w:val="none"/>
          <w:lang w:val="en-US" w:eastAsia="zh-CN"/>
        </w:rPr>
        <w:t>6.具备医疗器械注册证</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7026A9"/>
    <w:rsid w:val="68702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440" w:firstLineChars="200"/>
      <w:jc w:val="both"/>
    </w:pPr>
    <w:rPr>
      <w:rFonts w:ascii="Times New Roman" w:hAnsi="Times New Roman" w:eastAsia="宋体" w:cs="Times New Roman"/>
      <w:kern w:val="2"/>
      <w:sz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99"/>
    <w:pPr>
      <w:tabs>
        <w:tab w:val="left" w:pos="480"/>
      </w:tabs>
      <w:spacing w:line="560" w:lineRule="exact"/>
      <w:ind w:firstLine="480"/>
      <w:jc w:val="left"/>
    </w:pPr>
    <w:rPr>
      <w:rFonts w:ascii="宋体" w:hAnsi="宋体"/>
      <w:sz w:val="24"/>
    </w:rPr>
  </w:style>
  <w:style w:type="paragraph" w:styleId="3">
    <w:name w:val="Normal (Web)"/>
    <w:basedOn w:val="1"/>
    <w:qFormat/>
    <w:uiPriority w:val="0"/>
    <w:pPr>
      <w:spacing w:before="100" w:beforeAutospacing="1" w:after="100" w:afterAutospacing="1" w:line="240" w:lineRule="auto"/>
      <w:ind w:firstLine="0" w:firstLineChars="0"/>
      <w:jc w:val="left"/>
    </w:pPr>
    <w:rPr>
      <w:kern w:val="0"/>
    </w:rPr>
  </w:style>
  <w:style w:type="paragraph" w:styleId="4">
    <w:name w:val="Body Text First Indent 2"/>
    <w:basedOn w:val="2"/>
    <w:unhideWhenUsed/>
    <w:qFormat/>
    <w:uiPriority w:val="99"/>
    <w:pPr>
      <w:ind w:firstLine="420" w:firstLineChars="200"/>
    </w:pPr>
    <w:rPr>
      <w:rFonts w:ascii="Calibri" w:hAnsi="Calibri"/>
      <w:sz w:val="21"/>
      <w:szCs w:val="22"/>
      <w:lang w:val="en-US" w:eastAsia="zh-CN" w:bidi="ar-SA"/>
    </w:rPr>
  </w:style>
  <w:style w:type="paragraph" w:customStyle="1" w:styleId="7">
    <w:name w:val="首行缩进"/>
    <w:basedOn w:val="1"/>
    <w:qFormat/>
    <w:uiPriority w:val="0"/>
    <w:pPr>
      <w:spacing w:line="360" w:lineRule="auto"/>
      <w:ind w:firstLine="480" w:firstLineChars="200"/>
    </w:pPr>
    <w:rPr>
      <w:rFonts w:ascii="Calibri" w:hAnsi="Calibri" w:cs="Times New Roman"/>
      <w:sz w:val="24"/>
      <w:szCs w:val="22"/>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2026-09-20T06:36:00Z</dcterms:created>
  <dc:creator>宋可口ya！</dc:creator>
  <cp:lastModifiedBy>宋可口ya！</cp:lastModifiedBy>
  <dcterms:modified xsi:type="dcterms:W3CDTF">2026-09-20T06:36:54Z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FA09914AD4EE4598B632F40632DB9099_11</vt:lpwstr>
  </property>
  <property fmtid="{D5CDD505-2E9C-101B-9397-08002B2CF9AE}" pid="4" name="KSOTemplateDocerSaveRecord">
    <vt:lpwstr>eyJoZGlkIjoiYWI1YTQ5ZTJjMWFjNTgxNzkyMzNhYmFlNGJmNmRkNmUiLCJ1c2VySWQiOiIyODg5MTc3NTMifQ==</vt:lpwstr>
  </property>
</Properties>
</file>