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4EB89">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0" w:firstLineChars="0"/>
        <w:jc w:val="center"/>
        <w:textAlignment w:val="auto"/>
        <w:outlineLvl w:val="1"/>
        <w:rPr>
          <w:rFonts w:hint="eastAsia" w:ascii="宋体" w:hAnsi="宋体" w:eastAsia="宋体" w:cs="宋体"/>
          <w:b/>
          <w:bCs/>
          <w:color w:val="auto"/>
          <w:kern w:val="2"/>
          <w:sz w:val="24"/>
          <w:szCs w:val="24"/>
          <w:highlight w:val="none"/>
          <w:lang w:val="zh-CN" w:eastAsia="zh-CN" w:bidi="ar-SA"/>
        </w:rPr>
      </w:pPr>
      <w:bookmarkStart w:id="0" w:name="_Toc10381"/>
      <w:r>
        <w:rPr>
          <w:rFonts w:hint="eastAsia" w:ascii="宋体" w:hAnsi="宋体" w:eastAsia="宋体" w:cs="宋体"/>
          <w:b/>
          <w:bCs/>
          <w:color w:val="auto"/>
          <w:sz w:val="24"/>
          <w:szCs w:val="24"/>
          <w:highlight w:val="none"/>
          <w:lang w:val="en-US" w:eastAsia="zh-CN"/>
        </w:rPr>
        <w:t>项目需求书</w:t>
      </w:r>
      <w:bookmarkEnd w:id="0"/>
    </w:p>
    <w:tbl>
      <w:tblPr>
        <w:tblStyle w:val="6"/>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8"/>
        <w:gridCol w:w="1560"/>
        <w:gridCol w:w="2424"/>
        <w:gridCol w:w="1937"/>
      </w:tblGrid>
      <w:tr w14:paraId="3BED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4" w:hRule="atLeast"/>
          <w:jc w:val="center"/>
        </w:trPr>
        <w:tc>
          <w:tcPr>
            <w:tcW w:w="3058" w:type="dxa"/>
            <w:noWrap w:val="0"/>
            <w:vAlign w:val="top"/>
          </w:tcPr>
          <w:p w14:paraId="7768C5D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拟购置医疗设备名称</w:t>
            </w:r>
          </w:p>
        </w:tc>
        <w:tc>
          <w:tcPr>
            <w:tcW w:w="5921" w:type="dxa"/>
            <w:gridSpan w:val="3"/>
            <w:noWrap w:val="0"/>
            <w:vAlign w:val="top"/>
          </w:tcPr>
          <w:p w14:paraId="692E7954">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熏蒸治疗机</w:t>
            </w:r>
          </w:p>
        </w:tc>
      </w:tr>
      <w:tr w14:paraId="4B42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3058" w:type="dxa"/>
            <w:noWrap w:val="0"/>
            <w:vAlign w:val="top"/>
          </w:tcPr>
          <w:p w14:paraId="5E86938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数量（台/套）</w:t>
            </w:r>
          </w:p>
        </w:tc>
        <w:tc>
          <w:tcPr>
            <w:tcW w:w="1560" w:type="dxa"/>
            <w:noWrap w:val="0"/>
            <w:vAlign w:val="top"/>
          </w:tcPr>
          <w:p w14:paraId="1B3F80E6">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17</w:t>
            </w:r>
          </w:p>
        </w:tc>
        <w:tc>
          <w:tcPr>
            <w:tcW w:w="2424" w:type="dxa"/>
            <w:noWrap w:val="0"/>
            <w:vAlign w:val="top"/>
          </w:tcPr>
          <w:p w14:paraId="2C39FC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产地</w:t>
            </w:r>
          </w:p>
        </w:tc>
        <w:tc>
          <w:tcPr>
            <w:tcW w:w="1937" w:type="dxa"/>
            <w:noWrap w:val="0"/>
            <w:vAlign w:val="top"/>
          </w:tcPr>
          <w:p w14:paraId="3EC21A3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sz w:val="24"/>
                <w:szCs w:val="24"/>
              </w:rPr>
            </w:pPr>
            <w:r>
              <w:rPr>
                <w:rFonts w:hint="eastAsia" w:ascii="仿宋" w:hAnsi="仿宋" w:eastAsia="仿宋" w:cs="仿宋"/>
                <w:b w:val="0"/>
                <w:bCs w:val="0"/>
                <w:sz w:val="28"/>
                <w:szCs w:val="28"/>
              </w:rPr>
              <w:sym w:font="Wingdings" w:char="00FE"/>
            </w:r>
            <w:r>
              <w:rPr>
                <w:rFonts w:hint="eastAsia" w:ascii="宋体" w:hAnsi="宋体" w:eastAsia="宋体" w:cs="宋体"/>
                <w:b w:val="0"/>
                <w:bCs w:val="0"/>
                <w:sz w:val="24"/>
                <w:szCs w:val="24"/>
              </w:rPr>
              <w:t xml:space="preserve">国产  </w:t>
            </w:r>
            <w:r>
              <w:rPr>
                <w:rFonts w:hint="eastAsia" w:ascii="仿宋" w:hAnsi="仿宋" w:eastAsia="仿宋" w:cs="仿宋"/>
                <w:b w:val="0"/>
                <w:bCs w:val="0"/>
                <w:sz w:val="28"/>
                <w:szCs w:val="28"/>
              </w:rPr>
              <w:sym w:font="Wingdings" w:char="00A8"/>
            </w:r>
            <w:r>
              <w:rPr>
                <w:rFonts w:hint="eastAsia" w:ascii="宋体" w:hAnsi="宋体" w:eastAsia="宋体" w:cs="宋体"/>
                <w:b w:val="0"/>
                <w:bCs w:val="0"/>
                <w:sz w:val="24"/>
                <w:szCs w:val="24"/>
              </w:rPr>
              <w:t xml:space="preserve">进口 </w:t>
            </w:r>
          </w:p>
        </w:tc>
      </w:tr>
      <w:tr w14:paraId="6C9B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58" w:type="dxa"/>
            <w:noWrap w:val="0"/>
            <w:vAlign w:val="top"/>
          </w:tcPr>
          <w:p w14:paraId="39CC318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预算单价（万元）</w:t>
            </w:r>
          </w:p>
        </w:tc>
        <w:tc>
          <w:tcPr>
            <w:tcW w:w="1560" w:type="dxa"/>
            <w:noWrap w:val="0"/>
            <w:vAlign w:val="top"/>
          </w:tcPr>
          <w:p w14:paraId="42A4DEBA">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2.4</w:t>
            </w:r>
          </w:p>
        </w:tc>
        <w:tc>
          <w:tcPr>
            <w:tcW w:w="2424" w:type="dxa"/>
            <w:noWrap w:val="0"/>
            <w:vAlign w:val="top"/>
          </w:tcPr>
          <w:p w14:paraId="20D679A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预算总价（万元）</w:t>
            </w:r>
          </w:p>
        </w:tc>
        <w:tc>
          <w:tcPr>
            <w:tcW w:w="1937" w:type="dxa"/>
            <w:noWrap w:val="0"/>
            <w:vAlign w:val="top"/>
          </w:tcPr>
          <w:p w14:paraId="225C82DA">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40.8</w:t>
            </w:r>
          </w:p>
        </w:tc>
      </w:tr>
    </w:tbl>
    <w:p w14:paraId="49CB3435">
      <w:pPr>
        <w:pStyle w:val="5"/>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0" w:line="360" w:lineRule="auto"/>
        <w:ind w:leftChars="200"/>
        <w:textAlignment w:val="auto"/>
        <w:rPr>
          <w:rFonts w:hint="eastAsia" w:ascii="宋体" w:hAnsi="宋体" w:eastAsia="宋体" w:cs="宋体"/>
          <w:b/>
          <w:bCs/>
          <w:sz w:val="24"/>
          <w:szCs w:val="24"/>
          <w:lang w:val="en-US" w:eastAsia="zh-CN"/>
        </w:rPr>
      </w:pPr>
      <w:r>
        <w:rPr>
          <w:rFonts w:hint="eastAsia" w:ascii="宋体" w:hAnsi="宋体" w:eastAsia="宋体" w:cs="宋体"/>
          <w:color w:val="000000"/>
          <w:sz w:val="24"/>
          <w:szCs w:val="24"/>
          <w:highlight w:val="none"/>
          <w:lang w:val="en-US" w:eastAsia="zh-CN"/>
        </w:rPr>
        <w:t>第一部分：</w:t>
      </w:r>
      <w:r>
        <w:rPr>
          <w:rFonts w:hint="eastAsia" w:ascii="宋体" w:hAnsi="宋体" w:eastAsia="宋体" w:cs="宋体"/>
          <w:color w:val="000000"/>
          <w:sz w:val="24"/>
          <w:szCs w:val="24"/>
          <w:highlight w:val="none"/>
        </w:rPr>
        <w:t>技术参数</w:t>
      </w:r>
    </w:p>
    <w:p w14:paraId="14597FF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1、双锅双控双喷头，双路独立控制，可以同时治疗两个病人。</w:t>
      </w:r>
    </w:p>
    <w:p w14:paraId="59876DC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2、额定输入功率：≤2300W。</w:t>
      </w:r>
    </w:p>
    <w:p w14:paraId="2048151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3、操作显示：≥7英寸液晶触摸屏。</w:t>
      </w:r>
    </w:p>
    <w:p w14:paraId="1E39B29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4、预加热时间：≤15min。</w:t>
      </w:r>
    </w:p>
    <w:p w14:paraId="3BCAF90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5、功率调节：≥6档。</w:t>
      </w:r>
    </w:p>
    <w:p w14:paraId="63EBD84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6、喷头可水平旋转360°，上下旋转≥110°，横向调节≥110°。</w:t>
      </w:r>
    </w:p>
    <w:p w14:paraId="4166673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7、治疗时间：1～99min，允差±30s；治疗时间达到设定时间时，有提示音，加热装置自动断电。</w:t>
      </w:r>
    </w:p>
    <w:p w14:paraId="75A8089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8、预热温度：70～99℃可调。</w:t>
      </w:r>
    </w:p>
    <w:p w14:paraId="640DCCA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▲9、具备≥三通道散热系统。</w:t>
      </w:r>
    </w:p>
    <w:p w14:paraId="011C3D7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10、加液总容量：≥6L。</w:t>
      </w:r>
    </w:p>
    <w:p w14:paraId="32B30A6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▲11、具备自动控制废液排放功能，可以保证蒸汽量和温度。</w:t>
      </w:r>
    </w:p>
    <w:p w14:paraId="0111A30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12、具有自动漏电保护、自动防干烧功能。</w:t>
      </w:r>
    </w:p>
    <w:p w14:paraId="20CDCD4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▲13、采用红外测温技术，在熏蒸过程中实时监测皮肤表面温度。</w:t>
      </w:r>
    </w:p>
    <w:p w14:paraId="11392C5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14、加热锅具备安全保护装置：应具备报警阀、旋转锁盖钮、泄压窗、双卡钳、防堵过滤罩等。</w:t>
      </w:r>
    </w:p>
    <w:p w14:paraId="3396481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15、泄压支持三段调节，具备安全阀保护。</w:t>
      </w:r>
    </w:p>
    <w:p w14:paraId="04A5D98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▲16、须具备吸水装置设计，防止喷头滴水。</w:t>
      </w:r>
    </w:p>
    <w:p w14:paraId="1690D3A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17、配有专门的蒸汽凝结水回收盒。</w:t>
      </w:r>
    </w:p>
    <w:p w14:paraId="38C0197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18、具有工作状态提示、多重故障自检、错误代码显示等功能。</w:t>
      </w:r>
    </w:p>
    <w:p w14:paraId="3AB4C15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19、具有双重超温保护功能。</w:t>
      </w:r>
    </w:p>
    <w:p w14:paraId="0BD7F3D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注：</w:t>
      </w:r>
      <w:r>
        <w:rPr>
          <w:rFonts w:hint="eastAsia" w:ascii="宋体" w:hAnsi="宋体" w:eastAsia="宋体" w:cs="宋体"/>
          <w:color w:val="000000"/>
          <w:sz w:val="24"/>
          <w:szCs w:val="24"/>
          <w:highlight w:val="none"/>
          <w:lang w:val="en-US" w:eastAsia="zh-CN"/>
        </w:rPr>
        <w:t>▲为重要参数，</w:t>
      </w:r>
      <w:r>
        <w:rPr>
          <w:rFonts w:hint="eastAsia" w:ascii="宋体" w:hAnsi="宋体" w:eastAsia="宋体" w:cs="宋体"/>
          <w:b w:val="0"/>
          <w:bCs/>
          <w:sz w:val="24"/>
          <w:szCs w:val="24"/>
          <w:highlight w:val="none"/>
          <w:lang w:eastAsia="zh-CN"/>
        </w:rPr>
        <w:t>负偏离扣分值是其他常规参数负偏离的</w:t>
      </w:r>
      <w:r>
        <w:rPr>
          <w:rFonts w:hint="eastAsia" w:ascii="宋体" w:hAnsi="宋体" w:eastAsia="宋体" w:cs="宋体"/>
          <w:b w:val="0"/>
          <w:bCs/>
          <w:sz w:val="24"/>
          <w:szCs w:val="24"/>
          <w:highlight w:val="none"/>
          <w:lang w:val="en-US" w:eastAsia="zh-CN"/>
        </w:rPr>
        <w:t>2倍</w:t>
      </w:r>
    </w:p>
    <w:p w14:paraId="0A06C30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第二部分商务要求（资质要求、交货时间、售后服务等）：</w:t>
      </w:r>
    </w:p>
    <w:p w14:paraId="1252B51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一、供应商资质</w:t>
      </w:r>
    </w:p>
    <w:p w14:paraId="308A3DD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参加本项目磋商的供应商应在响应文件中提供以下证明材料：</w:t>
      </w:r>
    </w:p>
    <w:p w14:paraId="2A59FCC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根据《医疗器械监督管理条例》的规定，若供应商为所响应产品的制造商，须提供其医疗器械生产企业备案证明文件或医疗器械生产企业许可证的扫描件或复印件加盖公章；若供应商非所响应产品（第一类医疗器械除外）的制造商，须提供其医疗器械经营企业备案证明文件或医疗器械经营企业许可证的扫描件或复印件加盖公章。</w:t>
      </w:r>
    </w:p>
    <w:p w14:paraId="26CB7E9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（二）供应商须具备《中华人民共和国政府采购法》第二十二条第一款规定的条件，提供以下材料：</w:t>
      </w:r>
    </w:p>
    <w:p w14:paraId="5288C71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1、营业执照副本或事业单位法人证书或民办非企业单位登记证书或社会团体法人登记证书或基金会法人登记证书扫描件或复印件并加盖公章。</w:t>
      </w:r>
    </w:p>
    <w:p w14:paraId="7B52DB7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2、财务状况报告等相关材料：提供2025年度经第三方会计师事务所审计的企业财务报告扫描件（应包括完整的审计报告和财务报表）或提交响应文件截止日期前近3个月内银行出具的资信证明复印件并加盖公章。</w:t>
      </w:r>
    </w:p>
    <w:p w14:paraId="3C4027B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3、2026年至少1个月的依法缴纳税收和社会保险费的相关证明材料扫描件或复印件并加盖公章。</w:t>
      </w:r>
    </w:p>
    <w:p w14:paraId="42B879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4、提交响应文件截止日前3年在经营活动中没有重大违法记录的书面声明（提交响应文件截止日前成立不足3年的供应商可提供自成立以来无重大违法记录的书面声明）并加盖公章。</w:t>
      </w:r>
    </w:p>
    <w:p w14:paraId="3E7CB46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按照《财政部关于在政府采购活动中查询及使用信用记录有关问题的通知》（财库〔2016〕125号）的要求，采购代理机构于响应文件开启当日响应文件开启时间之前打印的信用中国、中国政府采购网的查询结果信用记录未列入失信被执行人、重大税收违法案件当事人名单、政府采购严重违法失信行为记录名单。</w:t>
      </w:r>
    </w:p>
    <w:p w14:paraId="2BF2143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供应商须由法定代表人或其授权的委托代理人参加磋商。供应商若为法定代表人参加磋商，须提供法定代表人资格证明书及身份证明原件或加盖公章的复印件（如身份证、护照、驾驶证等）；供应商若为被授权的委托代理人参加磋商，须提供法定代表人资格证明书、法人代表授权书（须由法定代表人签字或盖章）和被授权人身份证明原件或加盖公章的复印件（如身份证、护照、驾驶证等）。</w:t>
      </w:r>
    </w:p>
    <w:p w14:paraId="1A8079F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（五）本项目不接受联合体参加磋商，供应商须提供《非联合体磋商声明函》并加盖公章。</w:t>
      </w:r>
    </w:p>
    <w:p w14:paraId="6B1EAD9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二．交货要求</w:t>
      </w:r>
    </w:p>
    <w:p w14:paraId="737BCDD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1.交货时间：合同签订之日起十五日内安装调试完毕（具体情况以合同为准）</w:t>
      </w:r>
    </w:p>
    <w:p w14:paraId="63F6965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2.交货地点：天津市滨海新区中医医院</w:t>
      </w:r>
    </w:p>
    <w:p w14:paraId="3FB5187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特别要求：除主体设备外，还须包括生产厂家的完整的随机资料，包括完整的使用和维修手册、配套的辅助设备、技术资料（包括操作手册、使用指南、维修指南或服务手册等）、设备使用所必需的备品备件，负责运输、安装并提供相应的技术服务与质量保证。</w:t>
      </w:r>
    </w:p>
    <w:p w14:paraId="74DA76C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★三、服务要求</w:t>
      </w:r>
    </w:p>
    <w:p w14:paraId="7E52D09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1.保修期：整机保修≥5年(自货物经采购方验收合格之日起计算保修期),保修期内出现质量问题由供应商免费上门保修，且免费更换全部零配件，并承担修理、调换或退货以及由此给采购人造成损失的实际费用。</w:t>
      </w:r>
    </w:p>
    <w:p w14:paraId="1FDC2FF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2.依据产品说明书，保修期内供应商对所供货物提供免费维护与保养。</w:t>
      </w:r>
    </w:p>
    <w:p w14:paraId="6F78577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3.货物在保修期内更换整机的，从双方确认更换完成日期开始，保修期重新计算。</w:t>
      </w:r>
    </w:p>
    <w:p w14:paraId="47DF4B2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4.在产品说明书或标签中标明的使用期限内，供应商免费对货物的软件进行更新、维护、升级。</w:t>
      </w:r>
    </w:p>
    <w:p w14:paraId="1396AEA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在产品说明书或标签中标明的产品使用期限内，因货物质量问题，造成事故，供应商除负责修复、调换本合同货物外，还应承担受损人员及财产的赔偿责任，包括但不限于造成采购方数据丢失、损坏的，还应承担恢复数据、信息等费用损失。</w:t>
      </w:r>
    </w:p>
    <w:p w14:paraId="6169849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6.在产品说明书或标签中标明的产品使用期限内，货物因制造粗糙、设计缺陷或原材料缺陷但在上述保修期届满之前的合理检测中未能发现的潜在缺陷，供应商负责免费更换、修复。</w:t>
      </w:r>
    </w:p>
    <w:p w14:paraId="658A31F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7.供应商针对采购方的报修，供应商的服务人员在24小时内上门，并在48小时内予以修复。供应商对于采购方报修后48小时内无法修复的部分：保修期内供应商72小时内免费更换；超过保修期但仍在产品说明书或标签中标明的产品使用期限内的，供应商72小时内更换。若供应商不予配合，采购方有权委托第三方修复或者向第三方采购同等规格的替换产品，由此产生的一切费用均由供应商承担。</w:t>
      </w:r>
    </w:p>
    <w:p w14:paraId="1FB0762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8.供应商所提供的货物必须具有合法手续及相关文件。如涉及知识产权，则必须是自己拥有或合法使用，不得侵害任何第三方的合法权益。</w:t>
      </w:r>
    </w:p>
    <w:p w14:paraId="1BAB256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9.供应商应随货物向采购方交付货物的使用说明书及货物相关的资料。如果所提交文件是外文的，供应商有义务为采购方提供中文或译成中文文件。</w:t>
      </w:r>
    </w:p>
    <w:p w14:paraId="62CA4B6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10.货物在途及安装调试过程中的风险及责任全部由供应商自行承担，包括但不限于货物在途时或安装调试过程中发生毁损、灭失，以及给采购方或其工作人员、供应商或其工作人员、第三方造成人身伤亡或财产损失等。</w:t>
      </w:r>
    </w:p>
    <w:p w14:paraId="5EA78E7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11.未经采购人同意，成交供应商不得转让合同、转包或分包。</w:t>
      </w:r>
    </w:p>
    <w:p w14:paraId="3F6A3C8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12.所响应产品涉及商品包装或快递包装的，按照《财政部办公厅、生态环境部办公厅、国家邮政局办公室关于印发&lt;商品包装政府采购需求标准（试行）&gt;、&lt;快递包装政府采购需求标准（试行）&gt;的通知》（财办库〔2020〕123号）要求执行。</w:t>
      </w:r>
    </w:p>
    <w:p w14:paraId="089CD9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13.供应商须整包进行磋商，不得拆包分项响应。 </w:t>
      </w:r>
    </w:p>
    <w:p w14:paraId="60B95BB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14.根据《医疗器械监督管理条例》的规定，供应商所投产品如属于第一类医疗器械，须提供医疗器械备案证明文件复印件并加盖公章，供应商所投产品如属于第二类或第三类医疗器械，须具备食品药品监督管理局颁发的在有效期内的中华人民共和国医疗器械注册证，提供证书复印件并加盖公章。</w:t>
      </w:r>
    </w:p>
    <w:p w14:paraId="42B7E0E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（注：服务要求为实质性条款，不满足将导致</w:t>
      </w:r>
      <w:r>
        <w:rPr>
          <w:rFonts w:hint="eastAsia" w:ascii="宋体" w:hAnsi="宋体" w:eastAsia="宋体" w:cs="宋体"/>
          <w:color w:val="000000"/>
          <w:sz w:val="24"/>
          <w:szCs w:val="24"/>
          <w:lang w:val="en-US" w:eastAsia="zh-CN"/>
        </w:rPr>
        <w:t>投标</w:t>
      </w:r>
      <w:r>
        <w:rPr>
          <w:rFonts w:hint="eastAsia" w:ascii="宋体" w:hAnsi="宋体" w:eastAsia="宋体" w:cs="宋体"/>
          <w:color w:val="000000"/>
          <w:sz w:val="24"/>
          <w:szCs w:val="24"/>
        </w:rPr>
        <w:t>文件被拒绝）</w:t>
      </w:r>
    </w:p>
    <w:p w14:paraId="423A052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第三部分：付款方式</w:t>
      </w:r>
    </w:p>
    <w:p w14:paraId="08AB506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供应商在合同签订三日内向采购方缴纳合同标的额的10%作为履约保证金，待保修期届满后，由采购方在保修期届满30日内全额（无息）退还给供应商，但历次因违约扣除的履约保证金不予退还。在保修期内，供应商一旦发生需扣除履约保证金的情形，供应商应在收到采购方扣除履约保证金通知之日起30日内向采购方补足履约保证金。</w:t>
      </w:r>
    </w:p>
    <w:p w14:paraId="45E528B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2.合同签订生效，货到、安装调试完毕并经需方验收合格，且需方收到供方提供全额发票后，需方60日内付款。</w:t>
      </w:r>
    </w:p>
    <w:p w14:paraId="3711B97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Style w:val="8"/>
          <w:rFonts w:hint="eastAsia"/>
          <w:b/>
          <w:bCs w:val="0"/>
        </w:rPr>
      </w:pPr>
      <w:r>
        <w:rPr>
          <w:rFonts w:hint="eastAsia" w:ascii="宋体" w:hAnsi="宋体" w:eastAsia="宋体" w:cs="宋体"/>
          <w:color w:val="000000"/>
          <w:sz w:val="24"/>
          <w:szCs w:val="24"/>
        </w:rPr>
        <w:t>是否有配套耗材：</w:t>
      </w:r>
      <w:r>
        <w:rPr>
          <w:rFonts w:hint="eastAsia" w:ascii="宋体" w:hAnsi="宋体" w:eastAsia="宋体" w:cs="宋体"/>
          <w:color w:val="000000"/>
          <w:sz w:val="24"/>
          <w:szCs w:val="24"/>
        </w:rPr>
        <w:sym w:font="Wingdings" w:char="00A8"/>
      </w:r>
      <w:r>
        <w:rPr>
          <w:rFonts w:hint="eastAsia" w:ascii="宋体" w:hAnsi="宋体" w:eastAsia="宋体" w:cs="宋体"/>
          <w:color w:val="000000"/>
          <w:sz w:val="24"/>
          <w:szCs w:val="24"/>
        </w:rPr>
        <w:t xml:space="preserve">有 </w:t>
      </w:r>
      <w:r>
        <w:rPr>
          <w:rFonts w:hint="eastAsia" w:ascii="宋体" w:hAnsi="宋体" w:eastAsia="宋体" w:cs="宋体"/>
          <w:color w:val="000000"/>
          <w:sz w:val="24"/>
          <w:szCs w:val="24"/>
        </w:rPr>
        <w:sym w:font="Wingdings" w:char="00FE"/>
      </w:r>
      <w:r>
        <w:rPr>
          <w:rFonts w:hint="eastAsia" w:ascii="宋体" w:hAnsi="宋体" w:eastAsia="宋体" w:cs="宋体"/>
          <w:color w:val="000000"/>
          <w:sz w:val="24"/>
          <w:szCs w:val="24"/>
        </w:rPr>
        <w:t>无</w:t>
      </w:r>
    </w:p>
    <w:p w14:paraId="52DA5E85">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 w:name="仿宋">
    <w:altName w:val="仿宋-简"/>
    <w:panose1 w:val="02010609060101010101"/>
    <w:charset w:val="00"/>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FTToken">
    <w:panose1 w:val="05000000000000000000"/>
    <w:charset w:val="00"/>
    <w:family w:val="auto"/>
    <w:pitch w:val="default"/>
    <w:sig w:usb0="00000000" w:usb1="10000000" w:usb2="00000000" w:usb3="00000000" w:csb0="80000000" w:csb1="00000000"/>
  </w:font>
  <w:font w:name="Kingsoft UE">
    <w:altName w:val="鸿蒙黑体"/>
    <w:panose1 w:val="00000000000000000000"/>
    <w:charset w:val="00"/>
    <w:family w:val="auto"/>
    <w:pitch w:val="default"/>
    <w:sig w:usb0="00000000" w:usb1="00000000" w:usb2="00000000" w:usb3="00000000" w:csb0="00000000" w:csb1="00000000"/>
  </w:font>
  <w:font w:name="鸿蒙黑体">
    <w:panose1 w:val="00000500000000000000"/>
    <w:charset w:val="86"/>
    <w:family w:val="auto"/>
    <w:pitch w:val="default"/>
    <w:sig w:usb0="A00002BF" w:usb1="18EF7CFA" w:usb2="00000016" w:usb3="00000000" w:csb0="00040001" w:csb1="00000000"/>
  </w:font>
  <w:font w:name="Noto Sans Symbols 2">
    <w:panose1 w:val="020B0502040504020204"/>
    <w:charset w:val="00"/>
    <w:family w:val="auto"/>
    <w:pitch w:val="default"/>
    <w:sig w:usb0="80000003" w:usb1="0200E3E4" w:usb2="00040020" w:usb3="0580A048"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062A9"/>
    <w:multiLevelType w:val="singleLevel"/>
    <w:tmpl w:val="591062A9"/>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E48D5"/>
    <w:rsid w:val="7EBE4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
    <w:qFormat/>
    <w:uiPriority w:val="9"/>
    <w:pPr>
      <w:keepNext/>
      <w:keepLines/>
      <w:spacing w:before="340" w:beforeLines="0" w:beforeAutospacing="0" w:after="330" w:afterLines="0" w:afterAutospacing="0" w:line="576" w:lineRule="auto"/>
      <w:jc w:val="center"/>
      <w:outlineLvl w:val="0"/>
    </w:pPr>
    <w:rPr>
      <w:rFonts w:ascii="Calibri" w:hAnsi="Calibri" w:eastAsia="宋体"/>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uiPriority w:val="0"/>
    <w:rPr>
      <w:sz w:val="32"/>
    </w:rPr>
  </w:style>
  <w:style w:type="paragraph" w:styleId="4">
    <w:name w:val="Body Text Indent"/>
    <w:basedOn w:val="1"/>
    <w:next w:val="3"/>
    <w:qFormat/>
    <w:uiPriority w:val="0"/>
    <w:pPr>
      <w:spacing w:after="120"/>
      <w:ind w:left="420" w:leftChars="200"/>
    </w:pPr>
  </w:style>
  <w:style w:type="paragraph" w:styleId="5">
    <w:name w:val="Body Text First Indent 2"/>
    <w:basedOn w:val="4"/>
    <w:next w:val="1"/>
    <w:qFormat/>
    <w:uiPriority w:val="0"/>
    <w:pPr>
      <w:tabs>
        <w:tab w:val="left" w:pos="480"/>
      </w:tabs>
      <w:ind w:firstLine="420" w:firstLineChars="200"/>
    </w:pPr>
    <w:rPr>
      <w:rFonts w:ascii="Calibri" w:hAnsi="Calibri" w:eastAsia="宋体" w:cs="Times New Roman"/>
      <w:sz w:val="21"/>
      <w:szCs w:val="22"/>
      <w:lang w:val="en-US" w:eastAsia="zh-CN" w:bidi="ar-SA"/>
    </w:rPr>
  </w:style>
  <w:style w:type="character" w:customStyle="1" w:styleId="8">
    <w:name w:val="标题 1 Char"/>
    <w:link w:val="2"/>
    <w:uiPriority w:val="0"/>
    <w:rPr>
      <w:rFonts w:ascii="Calibri" w:hAnsi="Calibri" w:eastAsia="宋体"/>
      <w:b/>
      <w:kern w:val="44"/>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Office_12.1.3.28510_F1E327BC-269C-435d-A152-05C5408002CA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2026-09-21T16:52:00Z</dcterms:created>
  <dc:creator>宋可口ya！</dc:creator>
  <cp:lastModifiedBy>宋可口ya！</cp:lastModifiedBy>
  <dcterms:modified xsi:type="dcterms:W3CDTF">2026-09-21T16:52:19Z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FB2B53AD51CC779336F0B06AB3D6FDFD_41</vt:lpwstr>
  </property>
</Properties>
</file>