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69E7E">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0" w:firstLineChars="0"/>
        <w:jc w:val="center"/>
        <w:textAlignment w:val="auto"/>
        <w:outlineLvl w:val="1"/>
        <w:rPr>
          <w:rFonts w:hint="eastAsia" w:ascii="宋体" w:hAnsi="宋体" w:eastAsia="宋体" w:cs="宋体"/>
          <w:b/>
          <w:bCs/>
          <w:color w:val="auto"/>
          <w:kern w:val="2"/>
          <w:sz w:val="24"/>
          <w:szCs w:val="24"/>
          <w:highlight w:val="none"/>
          <w:lang w:val="zh-CN" w:eastAsia="zh-CN" w:bidi="ar-SA"/>
        </w:rPr>
      </w:pPr>
      <w:bookmarkStart w:id="0" w:name="_Toc10381"/>
      <w:r>
        <w:rPr>
          <w:rFonts w:hint="eastAsia" w:ascii="宋体" w:hAnsi="宋体" w:eastAsia="宋体" w:cs="宋体"/>
          <w:b/>
          <w:bCs/>
          <w:color w:val="auto"/>
          <w:sz w:val="24"/>
          <w:szCs w:val="24"/>
          <w:highlight w:val="none"/>
          <w:lang w:val="en-US" w:eastAsia="zh-CN"/>
        </w:rPr>
        <w:t>项目需求书</w:t>
      </w:r>
      <w:bookmarkEnd w:id="0"/>
    </w:p>
    <w:tbl>
      <w:tblPr>
        <w:tblStyle w:val="6"/>
        <w:tblW w:w="8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8"/>
        <w:gridCol w:w="1560"/>
        <w:gridCol w:w="2424"/>
        <w:gridCol w:w="1937"/>
      </w:tblGrid>
      <w:tr w14:paraId="4D75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058" w:type="dxa"/>
            <w:noWrap w:val="0"/>
            <w:vAlign w:val="top"/>
          </w:tcPr>
          <w:p w14:paraId="21F346EA">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拟购置医疗设备名称</w:t>
            </w:r>
          </w:p>
        </w:tc>
        <w:tc>
          <w:tcPr>
            <w:tcW w:w="5921" w:type="dxa"/>
            <w:gridSpan w:val="3"/>
            <w:noWrap w:val="0"/>
            <w:vAlign w:val="top"/>
          </w:tcPr>
          <w:p w14:paraId="4AF485E4">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经颅磁刺激仪</w:t>
            </w:r>
          </w:p>
        </w:tc>
      </w:tr>
      <w:tr w14:paraId="4A6E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058" w:type="dxa"/>
            <w:noWrap w:val="0"/>
            <w:vAlign w:val="top"/>
          </w:tcPr>
          <w:p w14:paraId="18004FB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数量（台/套）</w:t>
            </w:r>
          </w:p>
        </w:tc>
        <w:tc>
          <w:tcPr>
            <w:tcW w:w="1560" w:type="dxa"/>
            <w:noWrap w:val="0"/>
            <w:vAlign w:val="top"/>
          </w:tcPr>
          <w:p w14:paraId="6AFB719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424" w:type="dxa"/>
            <w:noWrap w:val="0"/>
            <w:vAlign w:val="top"/>
          </w:tcPr>
          <w:p w14:paraId="1098B22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产地</w:t>
            </w:r>
          </w:p>
        </w:tc>
        <w:tc>
          <w:tcPr>
            <w:tcW w:w="1937" w:type="dxa"/>
            <w:noWrap w:val="0"/>
            <w:vAlign w:val="top"/>
          </w:tcPr>
          <w:p w14:paraId="76993FE3">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val="0"/>
                <w:bCs w:val="0"/>
                <w:sz w:val="24"/>
                <w:szCs w:val="24"/>
              </w:rPr>
            </w:pPr>
            <w:r>
              <w:rPr>
                <w:rFonts w:hint="eastAsia" w:ascii="仿宋" w:hAnsi="仿宋" w:eastAsia="仿宋" w:cs="仿宋"/>
                <w:b w:val="0"/>
                <w:bCs w:val="0"/>
                <w:sz w:val="28"/>
                <w:szCs w:val="28"/>
              </w:rPr>
              <w:sym w:font="Wingdings" w:char="00FE"/>
            </w:r>
            <w:r>
              <w:rPr>
                <w:rFonts w:hint="eastAsia" w:ascii="宋体" w:hAnsi="宋体" w:eastAsia="宋体" w:cs="宋体"/>
                <w:b w:val="0"/>
                <w:bCs w:val="0"/>
                <w:sz w:val="24"/>
                <w:szCs w:val="24"/>
              </w:rPr>
              <w:t xml:space="preserve">国产  </w:t>
            </w:r>
            <w:r>
              <w:rPr>
                <w:rFonts w:hint="eastAsia" w:ascii="仿宋" w:hAnsi="仿宋" w:eastAsia="仿宋" w:cs="仿宋"/>
                <w:b w:val="0"/>
                <w:bCs w:val="0"/>
                <w:sz w:val="28"/>
                <w:szCs w:val="28"/>
              </w:rPr>
              <w:sym w:font="Wingdings" w:char="00A8"/>
            </w:r>
            <w:r>
              <w:rPr>
                <w:rFonts w:hint="eastAsia" w:ascii="宋体" w:hAnsi="宋体" w:eastAsia="宋体" w:cs="宋体"/>
                <w:b w:val="0"/>
                <w:bCs w:val="0"/>
                <w:sz w:val="24"/>
                <w:szCs w:val="24"/>
              </w:rPr>
              <w:t xml:space="preserve">进口 </w:t>
            </w:r>
          </w:p>
        </w:tc>
      </w:tr>
      <w:tr w14:paraId="71E2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8" w:type="dxa"/>
            <w:noWrap w:val="0"/>
            <w:vAlign w:val="top"/>
          </w:tcPr>
          <w:p w14:paraId="7341F92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预算单价（万元）</w:t>
            </w:r>
          </w:p>
        </w:tc>
        <w:tc>
          <w:tcPr>
            <w:tcW w:w="1560" w:type="dxa"/>
            <w:noWrap w:val="0"/>
            <w:vAlign w:val="top"/>
          </w:tcPr>
          <w:p w14:paraId="284CA546">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28</w:t>
            </w:r>
          </w:p>
        </w:tc>
        <w:tc>
          <w:tcPr>
            <w:tcW w:w="2424" w:type="dxa"/>
            <w:noWrap w:val="0"/>
            <w:vAlign w:val="top"/>
          </w:tcPr>
          <w:p w14:paraId="200FE37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预算总价（万元）</w:t>
            </w:r>
          </w:p>
        </w:tc>
        <w:tc>
          <w:tcPr>
            <w:tcW w:w="1937" w:type="dxa"/>
            <w:noWrap w:val="0"/>
            <w:vAlign w:val="top"/>
          </w:tcPr>
          <w:p w14:paraId="2A3B157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28</w:t>
            </w:r>
          </w:p>
        </w:tc>
      </w:tr>
    </w:tbl>
    <w:p w14:paraId="245D2DAA">
      <w:pPr>
        <w:pStyle w:val="5"/>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0" w:line="360" w:lineRule="auto"/>
        <w:ind w:leftChars="200"/>
        <w:textAlignment w:val="auto"/>
        <w:rPr>
          <w:rFonts w:hint="eastAsia" w:ascii="宋体" w:hAnsi="宋体" w:eastAsia="宋体" w:cs="宋体"/>
          <w:b/>
          <w:bCs/>
          <w:sz w:val="24"/>
          <w:szCs w:val="24"/>
          <w:lang w:val="en-US" w:eastAsia="zh-CN"/>
        </w:rPr>
      </w:pPr>
      <w:r>
        <w:rPr>
          <w:rFonts w:hint="eastAsia" w:ascii="宋体" w:hAnsi="宋体" w:eastAsia="宋体" w:cs="宋体"/>
          <w:color w:val="000000"/>
          <w:sz w:val="24"/>
          <w:szCs w:val="24"/>
          <w:highlight w:val="none"/>
          <w:lang w:val="en-US" w:eastAsia="zh-CN"/>
        </w:rPr>
        <w:t>第一部分：</w:t>
      </w:r>
      <w:r>
        <w:rPr>
          <w:rFonts w:hint="eastAsia" w:ascii="宋体" w:hAnsi="宋体" w:eastAsia="宋体" w:cs="宋体"/>
          <w:color w:val="000000"/>
          <w:sz w:val="24"/>
          <w:szCs w:val="24"/>
          <w:highlight w:val="none"/>
        </w:rPr>
        <w:t>技术参数</w:t>
      </w:r>
    </w:p>
    <w:p w14:paraId="6A398C58">
      <w:pPr>
        <w:pStyle w:val="5"/>
        <w:keepNext w:val="0"/>
        <w:keepLines w:val="0"/>
        <w:pageBreakBefore w:val="0"/>
        <w:widowControl w:val="0"/>
        <w:numPr>
          <w:ilvl w:val="0"/>
          <w:numId w:val="0"/>
        </w:numPr>
        <w:kinsoku/>
        <w:wordWrap/>
        <w:overflowPunct/>
        <w:topLinePunct w:val="0"/>
        <w:autoSpaceDE/>
        <w:autoSpaceDN/>
        <w:bidi w:val="0"/>
        <w:adjustRightInd/>
        <w:snapToGrid w:val="0"/>
        <w:spacing w:after="0" w:line="360" w:lineRule="auto"/>
        <w:ind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color w:val="000000"/>
          <w:sz w:val="24"/>
          <w:szCs w:val="24"/>
          <w:highlight w:val="none"/>
          <w:lang w:val="en-US" w:eastAsia="zh-CN"/>
        </w:rPr>
        <w:t>（一）</w:t>
      </w:r>
      <w:r>
        <w:rPr>
          <w:rFonts w:hint="eastAsia" w:ascii="宋体" w:hAnsi="宋体" w:eastAsia="宋体" w:cs="宋体"/>
          <w:b/>
          <w:bCs/>
          <w:sz w:val="24"/>
          <w:szCs w:val="24"/>
          <w:highlight w:val="none"/>
          <w:lang w:eastAsia="zh-CN"/>
        </w:rPr>
        <w:t>、产品适用范围</w:t>
      </w:r>
      <w:r>
        <w:rPr>
          <w:rFonts w:hint="eastAsia" w:ascii="宋体" w:hAnsi="宋体" w:eastAsia="宋体" w:cs="宋体"/>
          <w:b/>
          <w:bCs/>
          <w:sz w:val="24"/>
          <w:szCs w:val="24"/>
          <w:highlight w:val="none"/>
          <w:lang w:val="en-US" w:eastAsia="zh-CN"/>
        </w:rPr>
        <w:t>及相关资质要求：</w:t>
      </w:r>
    </w:p>
    <w:p w14:paraId="013A950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1.用于刺激人体（包含儿童）中枢神经和外周神经达到辅助治疗目的。</w:t>
      </w:r>
    </w:p>
    <w:p w14:paraId="019CB205">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eastAsia="zh-CN"/>
        </w:rPr>
        <w:t>（二）、产品性能</w:t>
      </w:r>
      <w:r>
        <w:rPr>
          <w:rFonts w:hint="eastAsia" w:ascii="宋体" w:hAnsi="宋体" w:eastAsia="宋体" w:cs="宋体"/>
          <w:b/>
          <w:bCs/>
          <w:sz w:val="24"/>
          <w:szCs w:val="24"/>
          <w:highlight w:val="none"/>
          <w:lang w:val="en-US" w:eastAsia="zh-CN"/>
        </w:rPr>
        <w:t>参数指标</w:t>
      </w:r>
    </w:p>
    <w:p w14:paraId="5250D01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 具备安全指示功能</w:t>
      </w:r>
    </w:p>
    <w:p w14:paraId="779087B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1.1刺激发生器具有安全运行指示</w:t>
      </w:r>
    </w:p>
    <w:p w14:paraId="7E44647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1.2可实时显示供电状态</w:t>
      </w:r>
    </w:p>
    <w:p w14:paraId="76C2D88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1.3可实时显示刺激强度</w:t>
      </w:r>
    </w:p>
    <w:p w14:paraId="1D62D06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1.4可事实显示冷却循环状态、工作状态。</w:t>
      </w:r>
    </w:p>
    <w:p w14:paraId="7B861C3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2.机器机构：</w:t>
      </w:r>
    </w:p>
    <w:p w14:paraId="2206B0E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2.1 可推移一体式主机结构</w:t>
      </w:r>
    </w:p>
    <w:p w14:paraId="021FEE4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2.2非冷却系统与刺激主机分体式设计。</w:t>
      </w:r>
    </w:p>
    <w:p w14:paraId="4CD21D1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 最大输出脉冲频率100Hz，允差±5%，调节范围0～100Hz。</w:t>
      </w:r>
    </w:p>
    <w:p w14:paraId="51C55CA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 刺激频率调节精度最高可达0.01Hz。</w:t>
      </w:r>
    </w:p>
    <w:p w14:paraId="6A4DAD3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5.具备输入输出触发接口；技术平台开放，可兼容主流品牌的脑电图EEG、肌电图EMG、事件相关电位ERP、近红外脑功能成像系统NIRS等设备。</w:t>
      </w:r>
    </w:p>
    <w:p w14:paraId="5915A73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 刺激发生器内置双通道MEP模块，可快速检测上下肢运动诱发电位。</w:t>
      </w:r>
    </w:p>
    <w:p w14:paraId="18608E0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7.具备以太网通信接口，支持同一平台多主机协同工作。</w:t>
      </w:r>
    </w:p>
    <w:p w14:paraId="71CAA70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8. 采用一体机承载操作系统，非笔记本式电脑。  </w:t>
      </w:r>
    </w:p>
    <w:p w14:paraId="16D5554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9.全中文操作系统，软件系统中每一个方案自带人体大脑3D解剖定位图及详细文字描述</w:t>
      </w:r>
    </w:p>
    <w:p w14:paraId="3E830DB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10.支持刺激模式包括：单脉冲刺激模式，重复脉冲刺激模式、爆发刺激模式、成对脉冲刺激模式，各模式可自由调整。</w:t>
      </w:r>
    </w:p>
    <w:p w14:paraId="285C4D3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 数据库管理功能，包含治疗处方管理，治疗记录管理，并可快速调取历史刺激记录，直接启动刺激。</w:t>
      </w:r>
    </w:p>
    <w:p w14:paraId="35BA160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12.内置多款标准化刺激治疗方案，方案制定均参考国内外权威诊疗指南与循证医学文献；提供自定义编辑模块，可结合患者个体情况优化刺激治疗设置。</w:t>
      </w:r>
    </w:p>
    <w:p w14:paraId="1B24945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13.可设置刺激倒计时提示，并支持长间隔时间多次提示。</w:t>
      </w:r>
    </w:p>
    <w:p w14:paraId="1A56DFB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14.特有的矩阵刺激模式，可编辑组合式连续刺激。</w:t>
      </w:r>
    </w:p>
    <w:p w14:paraId="6031C08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15.脉冲强度从运动阈值（MT）的0～200%可调。</w:t>
      </w:r>
    </w:p>
    <w:p w14:paraId="4BA3595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16.病例报告输出方式：可自动化输出患者单次治疗报告（Word报告）与多次治疗统计表（Excel），也可根据需求自定义编辑报告模板输出打印功能（word与excel）。</w:t>
      </w:r>
    </w:p>
    <w:p w14:paraId="72F84E4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17.支持主题切换、字体大小切换。</w:t>
      </w:r>
    </w:p>
    <w:p w14:paraId="5479426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18.集成中英文操作手册。</w:t>
      </w:r>
    </w:p>
    <w:p w14:paraId="10E8240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▲19.采用液体冷却系统，可保证设备连续不间断工作。</w:t>
      </w:r>
    </w:p>
    <w:p w14:paraId="0F2677B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20.线圈自带显示屏，可以显示脉冲并计数，线圈按钮可以手动调节刺激强度。</w:t>
      </w:r>
    </w:p>
    <w:p w14:paraId="57B199A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21.磁刺激设备最大磁感应强度应≥1T。</w:t>
      </w:r>
    </w:p>
    <w:p w14:paraId="3099515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★22.配备儿童专用八字线圈1个，成人八字线圈1个</w:t>
      </w:r>
    </w:p>
    <w:p w14:paraId="2C3135C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23.线圈设计：</w:t>
      </w:r>
    </w:p>
    <w:p w14:paraId="1FF765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23.1采用热插拔式设计，可在不使用任何工具情况下快速自行更换线圈；</w:t>
      </w:r>
    </w:p>
    <w:p w14:paraId="0CA56D6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23.2实现多种线圈兼容，满足不同的应用需求。</w:t>
      </w:r>
    </w:p>
    <w:p w14:paraId="6913499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24.磁感应强度最大变化率：10～50KT/s</w:t>
      </w:r>
    </w:p>
    <w:p w14:paraId="273EBF4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25.脉冲上升时间：40～120μs</w:t>
      </w:r>
    </w:p>
    <w:p w14:paraId="52474AA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26.双向波单边脉冲宽度：100～200μs；双向波双边脉冲宽度：200～400μs</w:t>
      </w:r>
    </w:p>
    <w:p w14:paraId="0F46C5E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27.具备安全保护，可自定义36℃-41℃的预设安全阈值，当线圈温度升高到预设温度时，自动停止输出并报警。</w:t>
      </w:r>
    </w:p>
    <w:p w14:paraId="01B8C87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28.支持运动阈值（MT）、运动诱发电位（MEP）、中枢神经传导时间（CMCT）的检查功能。</w:t>
      </w:r>
    </w:p>
    <w:p w14:paraId="58F1C07A">
      <w:pPr>
        <w:pStyle w:val="5"/>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注：★条款为实质性条款，负偏离将导致投标文件被拒绝</w:t>
      </w:r>
    </w:p>
    <w:p w14:paraId="2E53EF43">
      <w:pPr>
        <w:pStyle w:val="5"/>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lang w:eastAsia="zh-CN"/>
        </w:rPr>
        <w:t xml:space="preserve">    ▲为重要参数，负偏离扣分值是其他常规参数负偏离的2倍</w:t>
      </w:r>
      <w:r>
        <w:rPr>
          <w:rFonts w:hint="eastAsia" w:ascii="宋体" w:hAnsi="宋体" w:eastAsia="宋体" w:cs="宋体"/>
          <w:color w:val="000000"/>
          <w:sz w:val="24"/>
          <w:szCs w:val="24"/>
          <w:highlight w:val="none"/>
          <w:lang w:eastAsia="zh-CN"/>
        </w:rPr>
        <w:br w:type="textWrapping"/>
      </w:r>
      <w:r>
        <w:rPr>
          <w:rFonts w:hint="eastAsia" w:ascii="宋体" w:hAnsi="宋体" w:eastAsia="宋体" w:cs="宋体"/>
          <w:color w:val="000000"/>
          <w:sz w:val="24"/>
          <w:szCs w:val="24"/>
        </w:rPr>
        <w:t>第二部分</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商务要求（资质要求、交货时间、售后服务等）：</w:t>
      </w:r>
    </w:p>
    <w:p w14:paraId="320058C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一、供应商资质</w:t>
      </w:r>
    </w:p>
    <w:p w14:paraId="2BE741D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参加本项目磋商的供应商应在响应文件中提供以下证明材料：</w:t>
      </w:r>
    </w:p>
    <w:p w14:paraId="5A6DC64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根据《医疗器械监督管理条例》的规定，若供应商为所响应产品的制造商，须提供其医疗器械生产企业备案证明文件或医疗器械生产企业许可证的扫描件或复印件加盖公章；若供应商非所响应产品（第一类医疗器械除外）的制造商，须提供其医疗器械经营企业备案证明文件或医疗器械经营企业许可证的扫描件或复印件加盖公章。</w:t>
      </w:r>
    </w:p>
    <w:p w14:paraId="501DB44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（二）供应商须具备《中华人民共和国政府采购法》第二十二条第一款规定的条件，提供以下材料：</w:t>
      </w:r>
    </w:p>
    <w:p w14:paraId="45AEA47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1、营业执照副本或事业单位法人证书或民办非企业单位登记证书或社会团体法人登记证书或基金会法人登记证书扫描件或复印件并加盖公章。</w:t>
      </w:r>
    </w:p>
    <w:p w14:paraId="72894C7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2、财务状况报告等相关材料：提供2025年度经第三方会计师事务所审计的企业财务报告扫描件（应包括完整的审计报告和财务报表）或提交响应文件截止日期前近3个月内银行出具的资信证明复印件并加盖公章。</w:t>
      </w:r>
    </w:p>
    <w:p w14:paraId="15A895F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3、2026年至少1个月的依法缴纳税收和社会保险费的相关证明材料扫描件或复印件并加盖公章。</w:t>
      </w:r>
    </w:p>
    <w:p w14:paraId="57C132C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4、提交响应文件截止日前3年在经营活动中没有重大违法记录的书面声明（提交响应文件截止日前成立不足3年的供应商可提供自成立以来无重大违法记录的书面声明）并加盖公章。</w:t>
      </w:r>
    </w:p>
    <w:p w14:paraId="61CB486D">
      <w:pPr>
        <w:pStyle w:val="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val="en-US"/>
        </w:rPr>
      </w:pPr>
      <w:r>
        <w:rPr>
          <w:rFonts w:hint="eastAsia" w:ascii="宋体" w:hAnsi="宋体" w:eastAsia="宋体" w:cs="宋体"/>
          <w:color w:val="000000"/>
          <w:sz w:val="24"/>
          <w:szCs w:val="24"/>
          <w:lang w:val="en-US"/>
        </w:rPr>
        <w:t>（三）按照《财政部关于在政府采购活动中查询及使用信用记录有关问题的通知》（财库〔2016〕125号）的要求，采购代理机构于响应文件开启当日响应文件开启时间之前打印的信用中国、中国政府采购网的查询结果信用记录未列入失信被执行人、重大税收违法案件当事人名单、政府采购严重违法失信行为记录名单。</w:t>
      </w:r>
    </w:p>
    <w:p w14:paraId="4BD9DCA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供应商须由法定代表人或其授权的委托代理人参加磋商。供应商若为法定代表人参加磋商，须提供法定代表人资格证明书及身份证明原件或加盖公章的复印件（如身份证、护照、驾驶证等）；供应商若为被授权的委托代理人参加磋商，须提供法定代表人资格证明书、法人代表授权书（须由法定代表人签字或盖章）和被授权人身份证明原件或加盖公章的复印件（如身份证、护照、驾驶证等）。</w:t>
      </w:r>
    </w:p>
    <w:p w14:paraId="3380E25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（五）本项目不接受联合体参加磋商，供应商须提供《非联合体磋商声明函》并加盖公章。</w:t>
      </w:r>
    </w:p>
    <w:p w14:paraId="011D22E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交货要求</w:t>
      </w:r>
    </w:p>
    <w:p w14:paraId="6F087D2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1.交货时间：合同签订之日起十</w:t>
      </w:r>
      <w:r>
        <w:rPr>
          <w:rFonts w:hint="eastAsia" w:ascii="宋体" w:hAnsi="宋体" w:eastAsia="宋体" w:cs="宋体"/>
          <w:color w:val="000000"/>
          <w:sz w:val="24"/>
          <w:szCs w:val="24"/>
          <w:lang w:eastAsia="zh-CN"/>
        </w:rPr>
        <w:t>五</w:t>
      </w:r>
      <w:r>
        <w:rPr>
          <w:rFonts w:hint="eastAsia" w:ascii="宋体" w:hAnsi="宋体" w:eastAsia="宋体" w:cs="宋体"/>
          <w:color w:val="000000"/>
          <w:sz w:val="24"/>
          <w:szCs w:val="24"/>
        </w:rPr>
        <w:t>日内安装调试完毕（具体情况以合同为准）</w:t>
      </w:r>
    </w:p>
    <w:p w14:paraId="3C36A83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2.交货地点：</w:t>
      </w:r>
      <w:r>
        <w:rPr>
          <w:rFonts w:hint="eastAsia" w:ascii="宋体" w:hAnsi="宋体" w:eastAsia="宋体" w:cs="宋体"/>
          <w:color w:val="000000"/>
          <w:sz w:val="24"/>
          <w:szCs w:val="24"/>
          <w:lang w:eastAsia="zh-CN"/>
        </w:rPr>
        <w:t>天津市滨海新区中医医院</w:t>
      </w:r>
    </w:p>
    <w:p w14:paraId="234630C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特别要求：除主体设备外，还须包括生产厂家的完整的随机资料，包括完整的使用和维修手册、配套的辅助设备、技术资料（包括操作手册、使用指南、维修指南或服务手册等）、设备使用所必需的备品备件，负责运输、安装并提供相应的技术服务与质量保证。</w:t>
      </w:r>
    </w:p>
    <w:p w14:paraId="0F4968D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★三、服务要求</w:t>
      </w:r>
    </w:p>
    <w:p w14:paraId="4EB9C66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1.保修期：整机保修≥5年(自货物经采购方验收合格之日起计算保修期),保修期内出现质量问题由供应商免费上门保修，且免费更换全部零配件，并承担修理、调换或退货以及由此给采购方造成损失的实际费用。</w:t>
      </w:r>
    </w:p>
    <w:p w14:paraId="180579B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2.依据产品说明书，保修期内供应商对所供货物提供免费维护与保养。</w:t>
      </w:r>
    </w:p>
    <w:p w14:paraId="0BCB5BE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3.货物在保修期内更换整机的，从双方确认更换完成日期开始，保修期重新计算。</w:t>
      </w:r>
    </w:p>
    <w:p w14:paraId="14A4852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4.在产品说明书或标签中标明的使用期限内，供应商免费对货物的软件进行更新、维护、升级。</w:t>
      </w:r>
    </w:p>
    <w:p w14:paraId="75BCE47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5.在产品说明书或标签中标明的产品使用期限内，因货物质量问题，造成事故，供应商除负责修复、调换本合同货物外，还应承担受损人员及财产的赔偿责任，包括但不限于造成采购方数据丢失、损坏的，还应承担恢复数据、信息等费用损失。</w:t>
      </w:r>
    </w:p>
    <w:p w14:paraId="7B0141B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6.在产品说明书或标签中标明的产品使用期限内，货物因制造粗糙、设计缺陷或原材料缺陷但在上述保修期届满之前的合理检测中未能发现的潜在缺陷，供应商负责免费更换、修复。</w:t>
      </w:r>
    </w:p>
    <w:p w14:paraId="6E6CD31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7.供应商针对采购方的报修，供应商的服务人员在24小时内上门，并在48小时内予以修复。供应商对于采购方报修后48小时内无法修复的部分：保修期内供应商72小时内免费更换；超过保修期但仍在产品说明书或标签中标明的产品使用期限内的，供应商72小时内更换。若供应商不予配合，采购方有权委托第三方修复或者向第三方采购同等规格的替换产品，由此产生的一切费用均由供应商承担。</w:t>
      </w:r>
    </w:p>
    <w:p w14:paraId="3AC211A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8.供应商所提供的货物必须具有合法手续及相关文件。如涉及知识产权，则必须是自己拥有或合法使用，不得侵害任何第三方的合法权益。</w:t>
      </w:r>
    </w:p>
    <w:p w14:paraId="6628066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9.供应商应随货物向采购方交付货物的使用说明书及货物相关的资料。如果所提交文件是外文的，供应商有义务为采购方提供中文或译成中文文件。</w:t>
      </w:r>
    </w:p>
    <w:p w14:paraId="02E7A81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10.货物在途及安装调试过程中的风险及责任全部由供应商自行承担，包括但不限于货物在途时或安装调试过程中发生毁损、灭失，以及给采购方或其工作人员、供应商或其工作人员、第三方造成人身伤亡或财产损失等。</w:t>
      </w:r>
    </w:p>
    <w:p w14:paraId="20F5706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11.未经采购人同意，成交供应商不得转让合同、转包或分包。</w:t>
      </w:r>
    </w:p>
    <w:p w14:paraId="44DD929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12.所响应产品涉及商品包装或快递包装的，按照《财政部办公厅、生态环境部办公厅、国家邮政局办公室关于印发&lt;商品包装政府采购需求标准（试行）&gt;、&lt;快递包装政府采购需求标准（试行）&gt;的通知》（财办库〔2020〕123号）要求执行。</w:t>
      </w:r>
    </w:p>
    <w:p w14:paraId="7DE7846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 xml:space="preserve">13.供应商须整包进行磋商，不得拆包分项响应。 </w:t>
      </w:r>
    </w:p>
    <w:p w14:paraId="5775E65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14.根据《医疗器械监督管理条例》的规定，供应商所投产品如属于第一类医疗器械，须提供医疗器械备案证明文件复印件并加盖公章，供应商所投产品如属于第二类或第三类医疗器械，须具备食品药品监督管理局颁发的在有效期内的中华人民共和国医疗器械注册证，提供证书复印件并加盖公章。</w:t>
      </w:r>
    </w:p>
    <w:p w14:paraId="369EE18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第三部分：付款方式</w:t>
      </w:r>
    </w:p>
    <w:p w14:paraId="7617038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供应商在合同签订三日内向采购方缴纳合同标的额的10%作为履约保证金，待保修期届满后，由采购方在保修期届满30日内全额（无息）退还给供应商，但历次因违约扣除的履约保证金不予退还。在保修期内，供应商一旦发生需扣除履约保证金的情形，供应商应在收到采购方扣除履约保证金通知之日起30日内向采购方补足履约保证金。</w:t>
      </w:r>
    </w:p>
    <w:p w14:paraId="43930A5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2.合同签订生效，货到、安装调试完毕并经需方验收合格，且需方收到供方提供全额发票后，60日内需方付款。</w:t>
      </w:r>
    </w:p>
    <w:p w14:paraId="12BC875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Style w:val="9"/>
          <w:rFonts w:hint="eastAsia"/>
          <w:b/>
          <w:bCs w:val="0"/>
        </w:rPr>
      </w:pPr>
      <w:r>
        <w:rPr>
          <w:rFonts w:hint="eastAsia" w:ascii="宋体" w:hAnsi="宋体" w:eastAsia="宋体" w:cs="宋体"/>
          <w:color w:val="000000"/>
          <w:sz w:val="24"/>
          <w:szCs w:val="24"/>
        </w:rPr>
        <w:t>是否有配套耗材：</w:t>
      </w:r>
      <w:r>
        <w:rPr>
          <w:rFonts w:hint="eastAsia" w:ascii="宋体" w:hAnsi="宋体" w:eastAsia="宋体" w:cs="宋体"/>
          <w:color w:val="000000"/>
          <w:sz w:val="24"/>
          <w:szCs w:val="24"/>
        </w:rPr>
        <w:sym w:font="Wingdings" w:char="00A8"/>
      </w:r>
      <w:r>
        <w:rPr>
          <w:rFonts w:hint="eastAsia" w:ascii="宋体" w:hAnsi="宋体" w:eastAsia="宋体" w:cs="宋体"/>
          <w:color w:val="000000"/>
          <w:sz w:val="24"/>
          <w:szCs w:val="24"/>
        </w:rPr>
        <w:t xml:space="preserve">有 </w:t>
      </w:r>
      <w:r>
        <w:rPr>
          <w:rFonts w:hint="eastAsia" w:ascii="宋体" w:hAnsi="宋体" w:eastAsia="宋体" w:cs="宋体"/>
          <w:color w:val="000000"/>
          <w:sz w:val="24"/>
          <w:szCs w:val="24"/>
        </w:rPr>
        <w:sym w:font="Wingdings" w:char="00FE"/>
      </w:r>
      <w:r>
        <w:rPr>
          <w:rFonts w:hint="eastAsia" w:ascii="宋体" w:hAnsi="宋体" w:eastAsia="宋体" w:cs="宋体"/>
          <w:color w:val="000000"/>
          <w:sz w:val="24"/>
          <w:szCs w:val="24"/>
        </w:rPr>
        <w:t>无</w:t>
      </w:r>
    </w:p>
    <w:p w14:paraId="310E5CED">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1062A9"/>
    <w:multiLevelType w:val="singleLevel"/>
    <w:tmpl w:val="591062A9"/>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BE62AE"/>
    <w:rsid w:val="63BE6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
    <w:pPr>
      <w:keepNext/>
      <w:keepLines/>
      <w:spacing w:before="340" w:beforeLines="0" w:beforeAutospacing="0" w:after="330" w:afterLines="0" w:afterAutospacing="0" w:line="576" w:lineRule="auto"/>
      <w:jc w:val="center"/>
      <w:outlineLvl w:val="0"/>
    </w:pPr>
    <w:rPr>
      <w:rFonts w:ascii="Calibri" w:hAnsi="Calibri" w:eastAsia="宋体"/>
      <w:b/>
      <w:kern w:val="44"/>
      <w:sz w:val="44"/>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iPriority w:val="0"/>
    <w:rPr>
      <w:sz w:val="32"/>
    </w:rPr>
  </w:style>
  <w:style w:type="paragraph" w:styleId="4">
    <w:name w:val="Body Text Indent"/>
    <w:basedOn w:val="1"/>
    <w:next w:val="3"/>
    <w:uiPriority w:val="0"/>
    <w:pPr>
      <w:spacing w:after="120"/>
      <w:ind w:left="420" w:leftChars="200"/>
    </w:pPr>
  </w:style>
  <w:style w:type="paragraph" w:styleId="5">
    <w:name w:val="Body Text First Indent 2"/>
    <w:basedOn w:val="4"/>
    <w:next w:val="1"/>
    <w:qFormat/>
    <w:uiPriority w:val="0"/>
    <w:pPr>
      <w:tabs>
        <w:tab w:val="left" w:pos="480"/>
      </w:tabs>
      <w:ind w:firstLine="420" w:firstLineChars="200"/>
    </w:pPr>
    <w:rPr>
      <w:rFonts w:ascii="Calibri" w:hAnsi="Calibri" w:eastAsia="宋体" w:cs="Times New Roman"/>
      <w:sz w:val="21"/>
      <w:szCs w:val="22"/>
      <w:lang w:val="en-US" w:eastAsia="zh-CN" w:bidi="ar-SA"/>
    </w:rPr>
  </w:style>
  <w:style w:type="paragraph" w:customStyle="1" w:styleId="8">
    <w:name w:val="首行缩进"/>
    <w:basedOn w:val="1"/>
    <w:qFormat/>
    <w:uiPriority w:val="0"/>
    <w:pPr>
      <w:spacing w:line="360" w:lineRule="auto"/>
      <w:ind w:firstLine="480" w:firstLineChars="200"/>
    </w:pPr>
    <w:rPr>
      <w:sz w:val="24"/>
      <w:szCs w:val="22"/>
      <w:lang w:val="zh-CN"/>
    </w:rPr>
  </w:style>
  <w:style w:type="character" w:customStyle="1" w:styleId="9">
    <w:name w:val="标题 1 Char"/>
    <w:link w:val="2"/>
    <w:uiPriority w:val="0"/>
    <w:rPr>
      <w:rFonts w:ascii="Calibri" w:hAnsi="Calibri" w:eastAsia="宋体"/>
      <w:b/>
      <w:kern w:val="44"/>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2026-09-22T01:20:00Z</dcterms:created>
  <dc:creator>柳絮飞</dc:creator>
  <cp:lastModifiedBy>柳絮飞</cp:lastModifiedBy>
  <dcterms:modified xsi:type="dcterms:W3CDTF">2026-09-22T01:21:09Z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352136A0CB254DE9B7D0497069224534_11</vt:lpwstr>
  </property>
  <property fmtid="{D5CDD505-2E9C-101B-9397-08002B2CF9AE}" pid="4" name="KSOTemplateDocerSaveRecord">
    <vt:lpwstr>eyJoZGlkIjoiOWE1NmUwMmVjNjU2YzcwMDFmMzY3NzA5Mjc3MGE3YTQiLCJ1c2VySWQiOiIzMTIwNTAyMzUifQ==</vt:lpwstr>
  </property>
</Properties>
</file>