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42" w:tblpY="2168"/>
        <w:tblOverlap w:val="never"/>
        <w:tblW w:w="88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2447"/>
        <w:gridCol w:w="5436"/>
      </w:tblGrid>
      <w:tr w14:paraId="48D4B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84" w:type="dxa"/>
            <w:tcBorders>
              <w:bottom w:val="single" w:color="auto" w:sz="4" w:space="0"/>
            </w:tcBorders>
            <w:vAlign w:val="center"/>
          </w:tcPr>
          <w:p w14:paraId="0C8189BB"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序号</w:t>
            </w:r>
          </w:p>
        </w:tc>
        <w:tc>
          <w:tcPr>
            <w:tcW w:w="2447" w:type="dxa"/>
            <w:vAlign w:val="center"/>
          </w:tcPr>
          <w:p w14:paraId="6E3AA0D4"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项目</w:t>
            </w: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名称</w:t>
            </w:r>
          </w:p>
        </w:tc>
        <w:tc>
          <w:tcPr>
            <w:tcW w:w="5436" w:type="dxa"/>
            <w:vAlign w:val="center"/>
          </w:tcPr>
          <w:p w14:paraId="77826ECE">
            <w:pPr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  <w:lang w:val="en-US" w:eastAsia="zh-CN"/>
              </w:rPr>
              <w:t>需求概述</w:t>
            </w:r>
          </w:p>
        </w:tc>
      </w:tr>
      <w:tr w14:paraId="31A25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84" w:type="dxa"/>
            <w:vAlign w:val="center"/>
          </w:tcPr>
          <w:p w14:paraId="4208070D"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1</w:t>
            </w:r>
          </w:p>
        </w:tc>
        <w:tc>
          <w:tcPr>
            <w:tcW w:w="2447" w:type="dxa"/>
            <w:vAlign w:val="center"/>
          </w:tcPr>
          <w:p w14:paraId="763F84B6">
            <w:pPr>
              <w:spacing w:line="360" w:lineRule="auto"/>
              <w:ind w:left="0" w:leftChars="0" w:firstLine="0" w:firstLineChars="0"/>
              <w:jc w:val="center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病理信息管理系统改造及数据迁移</w:t>
            </w:r>
          </w:p>
        </w:tc>
        <w:tc>
          <w:tcPr>
            <w:tcW w:w="5436" w:type="dxa"/>
          </w:tcPr>
          <w:p w14:paraId="735DBD42">
            <w:pPr>
              <w:numPr>
                <w:ilvl w:val="0"/>
                <w:numId w:val="0"/>
              </w:numPr>
              <w:tabs>
                <w:tab w:val="left" w:pos="801"/>
              </w:tabs>
              <w:jc w:val="left"/>
              <w:rPr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完成我院使用的病理信息管理系统改造及数据迁移，包括：登记、大体取材、包埋、切片、特检、报告工作站、细胞学、分子、归档、管理工作站系统，共计48台套。</w:t>
            </w:r>
          </w:p>
        </w:tc>
      </w:tr>
      <w:tr w14:paraId="7B7DD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7A253670"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2447" w:type="dxa"/>
            <w:vAlign w:val="center"/>
          </w:tcPr>
          <w:p w14:paraId="48570078">
            <w:pPr>
              <w:ind w:left="0" w:leftChars="0" w:firstLine="0" w:firstLineChars="0"/>
              <w:jc w:val="center"/>
              <w:rPr>
                <w:rFonts w:hint="default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病理电子申请单及病理标本条码追溯系统</w:t>
            </w: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升级改造</w:t>
            </w:r>
          </w:p>
        </w:tc>
        <w:tc>
          <w:tcPr>
            <w:tcW w:w="5436" w:type="dxa"/>
            <w:vAlign w:val="center"/>
          </w:tcPr>
          <w:p w14:paraId="5D9B6D19">
            <w:pPr>
              <w:numPr>
                <w:ilvl w:val="0"/>
                <w:numId w:val="0"/>
              </w:numPr>
              <w:snapToGrid w:val="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  <w:t>1.</w:t>
            </w:r>
            <w:r>
              <w:rPr>
                <w:rFonts w:hint="eastAsia" w:ascii="宋体" w:hAnsi="宋体"/>
                <w:sz w:val="24"/>
                <w:szCs w:val="20"/>
              </w:rPr>
              <w:t>提供常规组织病理学，快速冰冻病理，细胞学和分子病理申请等多个在线病理检查电子申请。</w:t>
            </w:r>
          </w:p>
          <w:p w14:paraId="45D4C434">
            <w:pPr>
              <w:numPr>
                <w:ilvl w:val="0"/>
                <w:numId w:val="0"/>
              </w:numPr>
              <w:snapToGrid w:val="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  <w:t>2.</w:t>
            </w:r>
            <w:r>
              <w:rPr>
                <w:rFonts w:hint="eastAsia" w:ascii="宋体" w:hAnsi="宋体"/>
                <w:sz w:val="24"/>
                <w:szCs w:val="20"/>
              </w:rPr>
              <w:t>与医院临床业务系统互联互通，完成临床医生医嘱直接打开电子申请单流程，可与医院门诊/住院医生工作站程序集成。</w:t>
            </w:r>
          </w:p>
          <w:p w14:paraId="68077906">
            <w:pPr>
              <w:numPr>
                <w:ilvl w:val="0"/>
                <w:numId w:val="0"/>
              </w:numPr>
              <w:snapToGrid w:val="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  <w:t>3.</w:t>
            </w:r>
            <w:r>
              <w:rPr>
                <w:rFonts w:hint="eastAsia" w:ascii="宋体" w:hAnsi="宋体"/>
                <w:sz w:val="24"/>
                <w:szCs w:val="20"/>
              </w:rPr>
              <w:t>支持自动从HIS/数据平台获取病理医嘱项目，若有多条支持弹出框列表显示。</w:t>
            </w:r>
          </w:p>
        </w:tc>
      </w:tr>
      <w:tr w14:paraId="767F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984" w:type="dxa"/>
            <w:tcBorders>
              <w:left w:val="single" w:color="auto" w:sz="4" w:space="0"/>
              <w:right w:val="nil"/>
            </w:tcBorders>
            <w:vAlign w:val="center"/>
          </w:tcPr>
          <w:p w14:paraId="107A1FF8"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2447" w:type="dxa"/>
            <w:vAlign w:val="center"/>
          </w:tcPr>
          <w:p w14:paraId="66D554C8">
            <w:pPr>
              <w:ind w:left="0" w:leftChars="0" w:firstLine="0" w:firstLineChars="0"/>
              <w:jc w:val="center"/>
              <w:rPr>
                <w:rFonts w:hint="default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标本登记扫码接收工作站系统</w:t>
            </w: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升级改造</w:t>
            </w:r>
          </w:p>
        </w:tc>
        <w:tc>
          <w:tcPr>
            <w:tcW w:w="5436" w:type="dxa"/>
          </w:tcPr>
          <w:p w14:paraId="7C70C4E2">
            <w:pPr>
              <w:numPr>
                <w:ilvl w:val="0"/>
                <w:numId w:val="0"/>
              </w:numPr>
              <w:snapToGrid w:val="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  <w:t>1.</w:t>
            </w:r>
            <w:r>
              <w:rPr>
                <w:rFonts w:hint="eastAsia" w:ascii="宋体" w:hAnsi="宋体"/>
                <w:sz w:val="24"/>
                <w:szCs w:val="20"/>
              </w:rPr>
              <w:t>患者信息的读取支持条码识别读取。</w:t>
            </w:r>
          </w:p>
          <w:p w14:paraId="5DDEAB90">
            <w:pPr>
              <w:numPr>
                <w:ilvl w:val="0"/>
                <w:numId w:val="0"/>
              </w:numPr>
              <w:snapToGrid w:val="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  <w:t>2.</w:t>
            </w:r>
            <w:r>
              <w:rPr>
                <w:rFonts w:hint="eastAsia" w:ascii="宋体" w:hAnsi="宋体"/>
                <w:sz w:val="24"/>
                <w:szCs w:val="20"/>
              </w:rPr>
              <w:t>接收电子申请单，简化收标本流程。</w:t>
            </w:r>
          </w:p>
          <w:p w14:paraId="17A9444E">
            <w:pPr>
              <w:numPr>
                <w:ilvl w:val="0"/>
                <w:numId w:val="0"/>
              </w:numPr>
              <w:snapToGrid w:val="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  <w:t>3.</w:t>
            </w:r>
            <w:r>
              <w:rPr>
                <w:rFonts w:hint="eastAsia" w:ascii="宋体" w:hAnsi="宋体"/>
                <w:sz w:val="24"/>
                <w:szCs w:val="20"/>
              </w:rPr>
              <w:t>临床标本进入科室，对申请单，标本袋实现条形码管理，避免标本的混淆。</w:t>
            </w:r>
          </w:p>
          <w:p w14:paraId="1DA6ACF1">
            <w:pPr>
              <w:numPr>
                <w:ilvl w:val="0"/>
                <w:numId w:val="0"/>
              </w:numPr>
              <w:snapToGrid w:val="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0"/>
                <w:lang w:val="en-US" w:eastAsia="zh-CN" w:bidi="ar-SA"/>
              </w:rPr>
              <w:t>4.</w:t>
            </w:r>
            <w:r>
              <w:rPr>
                <w:rFonts w:hint="eastAsia" w:ascii="宋体" w:hAnsi="宋体"/>
                <w:sz w:val="24"/>
                <w:szCs w:val="20"/>
              </w:rPr>
              <w:t>接收标本同时打印患者回执，提醒患者取病理报告的时间。</w:t>
            </w:r>
          </w:p>
        </w:tc>
      </w:tr>
      <w:tr w14:paraId="7C52C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84" w:type="dxa"/>
            <w:tcBorders>
              <w:left w:val="single" w:color="auto" w:sz="4" w:space="0"/>
              <w:right w:val="nil"/>
            </w:tcBorders>
            <w:vAlign w:val="center"/>
          </w:tcPr>
          <w:p w14:paraId="2ADB8DB6"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4</w:t>
            </w:r>
          </w:p>
        </w:tc>
        <w:tc>
          <w:tcPr>
            <w:tcW w:w="2447" w:type="dxa"/>
          </w:tcPr>
          <w:p w14:paraId="6D4CE4D2">
            <w:pPr>
              <w:ind w:left="0" w:leftChars="0" w:firstLine="0" w:firstLineChars="0"/>
              <w:jc w:val="center"/>
              <w:rPr>
                <w:rFonts w:hint="default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门诊病例自助查询打印系统</w:t>
            </w: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升级改造</w:t>
            </w:r>
          </w:p>
        </w:tc>
        <w:tc>
          <w:tcPr>
            <w:tcW w:w="5436" w:type="dxa"/>
          </w:tcPr>
          <w:p w14:paraId="630825E1">
            <w:pPr>
              <w:ind w:left="0" w:leftChars="0" w:firstLine="0" w:firstLineChars="0"/>
              <w:jc w:val="left"/>
              <w:rPr>
                <w:rFonts w:hint="eastAsia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提供配套自助服务机器1台。</w:t>
            </w:r>
            <w:r>
              <w:rPr>
                <w:rFonts w:hint="eastAsia" w:ascii="宋体" w:hAnsi="宋体"/>
                <w:sz w:val="24"/>
                <w:szCs w:val="20"/>
              </w:rPr>
              <w:t>门诊患者凭病理回执单，系统自动查询显示该病例的当前状态及病理结果，支持自助打印。</w:t>
            </w:r>
          </w:p>
        </w:tc>
      </w:tr>
      <w:tr w14:paraId="720F7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84" w:type="dxa"/>
            <w:tcBorders>
              <w:left w:val="single" w:color="auto" w:sz="4" w:space="0"/>
              <w:right w:val="nil"/>
            </w:tcBorders>
            <w:vAlign w:val="center"/>
          </w:tcPr>
          <w:p w14:paraId="6BA48A6C"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5</w:t>
            </w:r>
          </w:p>
        </w:tc>
        <w:tc>
          <w:tcPr>
            <w:tcW w:w="2447" w:type="dxa"/>
            <w:vAlign w:val="center"/>
          </w:tcPr>
          <w:p w14:paraId="690B9077">
            <w:pPr>
              <w:ind w:left="0" w:leftChars="0" w:firstLine="0" w:firstLineChars="0"/>
              <w:jc w:val="center"/>
              <w:rPr>
                <w:rFonts w:hint="default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医院业务系统接口对接</w:t>
            </w:r>
          </w:p>
        </w:tc>
        <w:tc>
          <w:tcPr>
            <w:tcW w:w="5436" w:type="dxa"/>
          </w:tcPr>
          <w:p w14:paraId="1548A4B5">
            <w:pPr>
              <w:snapToGrid w:val="0"/>
              <w:ind w:left="0" w:leftChars="0" w:firstLine="0" w:firstLineChars="0"/>
              <w:jc w:val="left"/>
              <w:rPr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病理</w:t>
            </w: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信息管理</w:t>
            </w:r>
            <w:r>
              <w:rPr>
                <w:rFonts w:hint="eastAsia" w:ascii="宋体" w:hAnsi="宋体"/>
                <w:sz w:val="24"/>
                <w:szCs w:val="20"/>
              </w:rPr>
              <w:t>系统对接医院</w:t>
            </w: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HIS、LIS、PACS、EMR、集成平台等</w:t>
            </w:r>
            <w:r>
              <w:rPr>
                <w:rFonts w:hint="eastAsia" w:ascii="宋体" w:hAnsi="宋体"/>
                <w:sz w:val="24"/>
                <w:szCs w:val="20"/>
              </w:rPr>
              <w:t>业务系统，实现信息数据互联互通</w:t>
            </w:r>
            <w:r>
              <w:rPr>
                <w:rFonts w:hint="eastAsia" w:ascii="宋体" w:hAnsi="宋体"/>
                <w:sz w:val="24"/>
                <w:szCs w:val="20"/>
                <w:lang w:eastAsia="zh-CN"/>
              </w:rPr>
              <w:t>，</w:t>
            </w: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满</w:t>
            </w:r>
            <w:r>
              <w:rPr>
                <w:rFonts w:hint="eastAsia" w:ascii="宋体" w:hAnsi="宋体"/>
                <w:sz w:val="24"/>
                <w:szCs w:val="20"/>
              </w:rPr>
              <w:t>足四级电子病历评审及互联互通评审。</w:t>
            </w:r>
          </w:p>
        </w:tc>
      </w:tr>
      <w:tr w14:paraId="0C955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84" w:type="dxa"/>
            <w:tcBorders>
              <w:left w:val="single" w:color="auto" w:sz="4" w:space="0"/>
              <w:right w:val="nil"/>
            </w:tcBorders>
            <w:vAlign w:val="center"/>
          </w:tcPr>
          <w:p w14:paraId="7E969DA7">
            <w:pPr>
              <w:ind w:left="0" w:leftChars="0" w:firstLine="0" w:firstLineChars="0"/>
              <w:jc w:val="center"/>
              <w:rPr>
                <w:rFonts w:hint="eastAsia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6</w:t>
            </w:r>
          </w:p>
        </w:tc>
        <w:tc>
          <w:tcPr>
            <w:tcW w:w="2447" w:type="dxa"/>
          </w:tcPr>
          <w:p w14:paraId="694B5FA7">
            <w:pPr>
              <w:ind w:left="0" w:leftChars="0" w:firstLine="0" w:firstLineChars="0"/>
              <w:jc w:val="center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对接医院CA系统</w:t>
            </w:r>
          </w:p>
        </w:tc>
        <w:tc>
          <w:tcPr>
            <w:tcW w:w="5436" w:type="dxa"/>
          </w:tcPr>
          <w:p w14:paraId="48A2C861">
            <w:pPr>
              <w:ind w:left="0" w:leftChars="0" w:firstLine="0" w:firstLineChars="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实现病理</w:t>
            </w: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信息管理</w:t>
            </w:r>
            <w:r>
              <w:rPr>
                <w:rFonts w:hint="eastAsia" w:ascii="宋体" w:hAnsi="宋体"/>
                <w:sz w:val="24"/>
                <w:szCs w:val="20"/>
              </w:rPr>
              <w:t>系统与医院C</w:t>
            </w:r>
            <w:r>
              <w:rPr>
                <w:rFonts w:ascii="宋体" w:hAnsi="宋体"/>
                <w:sz w:val="24"/>
                <w:szCs w:val="20"/>
              </w:rPr>
              <w:t>A</w:t>
            </w:r>
            <w:r>
              <w:rPr>
                <w:rFonts w:hint="eastAsia" w:ascii="宋体" w:hAnsi="宋体"/>
                <w:sz w:val="24"/>
                <w:szCs w:val="20"/>
              </w:rPr>
              <w:t>系统对接，病理报告具备CA认证。</w:t>
            </w:r>
          </w:p>
        </w:tc>
      </w:tr>
    </w:tbl>
    <w:p w14:paraId="67916F0E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附件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5D3462"/>
    <w:rsid w:val="2BC73D79"/>
    <w:rsid w:val="3AC532B4"/>
    <w:rsid w:val="41131DDD"/>
    <w:rsid w:val="4C067DF5"/>
    <w:rsid w:val="5C5C5779"/>
    <w:rsid w:val="664B347C"/>
    <w:rsid w:val="68396623"/>
    <w:rsid w:val="6C21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1440" w:firstLineChars="2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666"/>
    <w:basedOn w:val="1"/>
    <w:next w:val="1"/>
    <w:qFormat/>
    <w:uiPriority w:val="0"/>
    <w:pPr>
      <w:keepNext/>
      <w:keepLines/>
      <w:spacing w:before="260" w:after="260" w:line="415" w:lineRule="auto"/>
      <w:jc w:val="center"/>
      <w:outlineLvl w:val="1"/>
    </w:pPr>
    <w:rPr>
      <w:rFonts w:hint="eastAsia" w:ascii="方正小标宋简体" w:hAnsi="方正小标宋简体" w:eastAsia="方正小标宋简体" w:cs="Times New Roman"/>
      <w:sz w:val="32"/>
      <w:szCs w:val="28"/>
    </w:rPr>
  </w:style>
  <w:style w:type="paragraph" w:customStyle="1" w:styleId="5">
    <w:name w:val="666组织框架"/>
    <w:basedOn w:val="1"/>
    <w:qFormat/>
    <w:uiPriority w:val="0"/>
    <w:pPr>
      <w:spacing w:before="240" w:after="60"/>
      <w:jc w:val="center"/>
      <w:outlineLvl w:val="0"/>
    </w:pPr>
    <w:rPr>
      <w:rFonts w:hint="default" w:asciiTheme="majorAscii" w:hAnsiTheme="majorAscii" w:eastAsiaTheme="majorEastAsia" w:cstheme="majorBidi"/>
      <w:sz w:val="40"/>
      <w:szCs w:val="40"/>
    </w:rPr>
  </w:style>
  <w:style w:type="paragraph" w:customStyle="1" w:styleId="6">
    <w:name w:val="666制度标题"/>
    <w:basedOn w:val="1"/>
    <w:next w:val="1"/>
    <w:qFormat/>
    <w:uiPriority w:val="0"/>
    <w:pPr>
      <w:keepNext/>
      <w:keepLines/>
      <w:widowControl/>
      <w:spacing w:before="260" w:after="260" w:line="415" w:lineRule="auto"/>
      <w:jc w:val="center"/>
      <w:outlineLvl w:val="1"/>
    </w:pPr>
    <w:rPr>
      <w:rFonts w:hint="eastAsia" w:ascii="方正小标宋简体" w:hAnsi="方正小标宋简体" w:eastAsia="方正小标宋简体" w:cs="方正小标宋简体"/>
      <w:sz w:val="32"/>
      <w:szCs w:val="28"/>
    </w:rPr>
  </w:style>
  <w:style w:type="paragraph" w:customStyle="1" w:styleId="7">
    <w:name w:val="666制度标题2"/>
    <w:basedOn w:val="1"/>
    <w:next w:val="1"/>
    <w:qFormat/>
    <w:uiPriority w:val="0"/>
    <w:pPr>
      <w:keepNext/>
      <w:keepLines/>
      <w:widowControl/>
      <w:spacing w:before="260" w:after="260" w:line="415" w:lineRule="auto"/>
      <w:jc w:val="center"/>
      <w:outlineLvl w:val="1"/>
    </w:pPr>
    <w:rPr>
      <w:rFonts w:hint="eastAsia" w:ascii="方正小标宋简体" w:hAnsi="方正小标宋简体" w:eastAsia="方正小标宋简体" w:cs="方正小标宋简体"/>
      <w:sz w:val="32"/>
      <w:szCs w:val="28"/>
    </w:rPr>
  </w:style>
  <w:style w:type="paragraph" w:customStyle="1" w:styleId="8">
    <w:name w:val="666黑体小四"/>
    <w:basedOn w:val="1"/>
    <w:next w:val="1"/>
    <w:qFormat/>
    <w:uiPriority w:val="0"/>
    <w:pPr>
      <w:widowControl/>
      <w:pBdr>
        <w:bottom w:val="none" w:color="auto" w:sz="0" w:space="0"/>
      </w:pBdr>
      <w:shd w:val="clear" w:fill="FFFFFF"/>
      <w:spacing w:before="260" w:after="60"/>
      <w:jc w:val="left"/>
      <w:outlineLvl w:val="1"/>
    </w:pPr>
    <w:rPr>
      <w:rFonts w:hint="eastAsia" w:ascii="黑体" w:hAnsi="黑体" w:eastAsia="黑体" w:cs="黑体"/>
      <w:sz w:val="24"/>
      <w:shd w:val="clear" w:fill="FFFFFF"/>
    </w:rPr>
  </w:style>
  <w:style w:type="paragraph" w:customStyle="1" w:styleId="9">
    <w:name w:val="宋小四1.5倍行距"/>
    <w:basedOn w:val="1"/>
    <w:qFormat/>
    <w:uiPriority w:val="0"/>
    <w:pPr>
      <w:spacing w:line="360" w:lineRule="auto"/>
      <w:ind w:firstLine="482"/>
    </w:pPr>
    <w:rPr>
      <w:rFonts w:hint="eastAsia" w:ascii="宋体" w:hAnsi="宋体" w:eastAsia="宋体" w:cs="宋体"/>
      <w:snapToGrid w:val="0"/>
      <w:color w:val="00000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542</Words>
  <Characters>565</Characters>
  <Lines>0</Lines>
  <Paragraphs>0</Paragraphs>
  <TotalTime>0</TotalTime>
  <ScaleCrop>false</ScaleCrop>
  <LinksUpToDate>false</LinksUpToDate>
  <CharactersWithSpaces>565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2026-09-10T07:59:00Z</dcterms:created>
  <dc:creator>黎</dc:creator>
  <cp:lastModifiedBy>oven:</cp:lastModifiedBy>
  <dcterms:modified xsi:type="dcterms:W3CDTF">2026-09-24T01:05:58Z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9A92150BD8924FC48A7C61202A46247F_12</vt:lpwstr>
  </property>
  <property fmtid="{D5CDD505-2E9C-101B-9397-08002B2CF9AE}" pid="4" name="KSOTemplateDocerSaveRecord">
    <vt:lpwstr>eyJoZGlkIjoiOWU1NzdlNGE3ZDJjNzA0N2RjMTIxNDMyZjliMDY3ZWYiLCJ1c2VySWQiOiI0NDEyMjI1MjEifQ==</vt:lpwstr>
  </property>
</Properties>
</file>